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259106">
      <w:pPr>
        <w:jc w:val="center"/>
        <w:rPr>
          <w:rFonts w:hint="eastAsia" w:ascii="方正小标宋简体" w:hAnsi="方正小标宋简体" w:eastAsia="方正小标宋简体"/>
          <w:color w:val="000000" w:themeColor="text1"/>
          <w:sz w:val="36"/>
          <w:szCs w:val="32"/>
          <w14:textFill>
            <w14:solidFill>
              <w14:schemeClr w14:val="tx1"/>
            </w14:solidFill>
          </w14:textFill>
        </w:rPr>
      </w:pPr>
      <w:r>
        <w:rPr>
          <w:rFonts w:hint="eastAsia" w:ascii="方正小标宋简体" w:hAnsi="方正小标宋简体" w:eastAsia="方正小标宋简体"/>
          <w:color w:val="000000" w:themeColor="text1"/>
          <w:sz w:val="36"/>
          <w:szCs w:val="32"/>
          <w14:textFill>
            <w14:solidFill>
              <w14:schemeClr w14:val="tx1"/>
            </w14:solidFill>
          </w14:textFill>
        </w:rPr>
        <w:t>江苏省质量协会</w:t>
      </w:r>
    </w:p>
    <w:p w14:paraId="44B33BD0">
      <w:pPr>
        <w:jc w:val="center"/>
        <w:rPr>
          <w:rFonts w:hint="eastAsia" w:ascii="方正小标宋简体" w:hAnsi="方正小标宋简体" w:eastAsia="方正小标宋简体"/>
          <w:color w:val="000000" w:themeColor="text1"/>
          <w:sz w:val="36"/>
          <w:szCs w:val="32"/>
          <w14:textFill>
            <w14:solidFill>
              <w14:schemeClr w14:val="tx1"/>
            </w14:solidFill>
          </w14:textFill>
        </w:rPr>
      </w:pPr>
      <w:r>
        <w:rPr>
          <w:rFonts w:hint="eastAsia" w:ascii="方正小标宋简体" w:hAnsi="方正小标宋简体" w:eastAsia="方正小标宋简体"/>
          <w:color w:val="000000" w:themeColor="text1"/>
          <w:sz w:val="36"/>
          <w:szCs w:val="32"/>
          <w14:textFill>
            <w14:solidFill>
              <w14:schemeClr w14:val="tx1"/>
            </w14:solidFill>
          </w14:textFill>
        </w:rPr>
        <w:t>团体标准《微创钻芯法混凝土抗压强度检测技术标准》编制说明</w:t>
      </w:r>
    </w:p>
    <w:p w14:paraId="2B0A6591">
      <w:pPr>
        <w:rPr>
          <w:rFonts w:hint="eastAsia" w:ascii="黑体" w:hAnsi="黑体" w:eastAsia="黑体" w:cs="Times New Roman"/>
          <w:color w:val="000000" w:themeColor="text1"/>
          <w:sz w:val="28"/>
          <w:szCs w:val="28"/>
          <w14:textFill>
            <w14:solidFill>
              <w14:schemeClr w14:val="tx1"/>
            </w14:solidFill>
          </w14:textFill>
        </w:rPr>
      </w:pPr>
      <w:r>
        <w:rPr>
          <w:rFonts w:ascii="黑体" w:hAnsi="黑体" w:eastAsia="黑体" w:cs="Times New Roman"/>
          <w:color w:val="000000" w:themeColor="text1"/>
          <w:sz w:val="28"/>
          <w:szCs w:val="28"/>
          <w14:textFill>
            <w14:solidFill>
              <w14:schemeClr w14:val="tx1"/>
            </w14:solidFill>
          </w14:textFill>
        </w:rPr>
        <w:t>1</w:t>
      </w:r>
      <w:r>
        <w:rPr>
          <w:rFonts w:hint="eastAsia" w:ascii="黑体" w:hAnsi="黑体" w:eastAsia="黑体" w:cs="Times New Roman"/>
          <w:color w:val="000000" w:themeColor="text1"/>
          <w:sz w:val="28"/>
          <w:szCs w:val="28"/>
          <w14:textFill>
            <w14:solidFill>
              <w14:schemeClr w14:val="tx1"/>
            </w14:solidFill>
          </w14:textFill>
        </w:rPr>
        <w:t xml:space="preserve"> </w:t>
      </w:r>
      <w:r>
        <w:rPr>
          <w:rFonts w:ascii="黑体" w:hAnsi="黑体" w:eastAsia="黑体" w:cs="Times New Roman"/>
          <w:color w:val="000000" w:themeColor="text1"/>
          <w:sz w:val="28"/>
          <w:szCs w:val="28"/>
          <w14:textFill>
            <w14:solidFill>
              <w14:schemeClr w14:val="tx1"/>
            </w14:solidFill>
          </w14:textFill>
        </w:rPr>
        <w:t>项目背景</w:t>
      </w:r>
    </w:p>
    <w:p w14:paraId="26B385DE">
      <w:pPr>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（一）省内外相关产业发展基本情况</w:t>
      </w:r>
    </w:p>
    <w:p w14:paraId="468066E0">
      <w:pPr>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江苏省是全国建筑大省，2024 年全省建筑业总产值突破 4.5 万亿元，既有建筑存量超 50 亿平方米，其中建成 20 年以上的老旧建筑约 12 亿平方米。随着城市更新、既有建筑改造加固、工程质量纠纷鉴定等工作的全面推进，建筑混凝土强度检测需求呈爆发式增长。目前省内从事工程质量检测的机构超 300 家，混凝土强度检测占结构检测业务总量的 60% 以上。</w:t>
      </w:r>
    </w:p>
    <w:p w14:paraId="334EF126">
      <w:pPr>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全国范围内，传统钻芯法检测混凝土强度已成为行业主流技术，依据 CECS03:2007 和 JGJ/T384-2016 标准，普遍采用 75mm、100mm 直径芯样。但近年来，随着泵送混凝土的全面普及，粗骨料粒径普遍控制在 25mm 以下，为小直径芯样检测技术的应用创造了基础条件。</w:t>
      </w:r>
    </w:p>
    <w:p w14:paraId="038DB300">
      <w:pPr>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（二）行业存在的突出问题</w:t>
      </w:r>
    </w:p>
    <w:p w14:paraId="02DE2E9E">
      <w:pPr>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传统检测方法破坏性大：75mm、100mm 直径芯样对建筑构件损伤显著，尤其是装修完成的既有建筑，取样后修复难度大、成本高，业主接受度低，导致检测布点受限，无法全面反映混凝土真实强度分布。</w:t>
      </w:r>
    </w:p>
    <w:p w14:paraId="23E2C1E9">
      <w:pPr>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技术标准存在空白：国内外仅见小直径芯样检测的相关学术论文，尚未形成统一的检测方法、数据处理和强度推定标准，各检测机构自行探索，检测结果缺乏可比性和权威性。</w:t>
      </w:r>
    </w:p>
    <w:p w14:paraId="4AD48ADB">
      <w:pPr>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数据离散性问题未解决：小直径芯样受粗骨料影响较大，强度检测值离散性高于传统芯样，缺乏科学的数理统计修正方法和换算系数，限制了其工程应用。</w:t>
      </w:r>
    </w:p>
    <w:p w14:paraId="429ECE24">
      <w:pPr>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（三）相关技术成熟度及发展前景</w:t>
      </w:r>
    </w:p>
    <w:p w14:paraId="6C414214">
      <w:pPr>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目前，小直径芯样检测技术处于实验室研究向工程应用转化的关键阶段。国内多家科研机构和检测企业已开展初步探索，证实了 20mm、35mm 直径芯样检测混凝土强度的可行性。</w:t>
      </w:r>
    </w:p>
    <w:p w14:paraId="43F03F30">
      <w:pPr>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本课题组自 2020 年起开展相关技术研究，已完成前期预实验，验证了通过大样本统计弥补数据离散性的技术路线。计划通过 40 余万个试验数据，建立不同强度等级、不同骨料粒径下小直径芯样与 75mm 标准芯样的强度换算关系，技术成熟度高。</w:t>
      </w:r>
    </w:p>
    <w:p w14:paraId="39D00148">
      <w:pPr>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未来，微创化、无损化是建筑检测技术的核心发展方向。本标准的制定将填补行业空白，推动小直径芯样检测技术的规范化应用，满足既有建筑改造、历史建筑保护、精装修工程检测等细分市场的迫切需求，市场前景广阔。</w:t>
      </w:r>
    </w:p>
    <w:p w14:paraId="708B149D">
      <w:pPr>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（四）立项目的与意义</w:t>
      </w:r>
    </w:p>
    <w:p w14:paraId="2C30238D">
      <w:pPr>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目的：规范微创法建筑混凝土强度检测的技术要求、试验方法和数据处理规则，解决传统钻芯法破坏性大的行业痛点，提高混凝土强度检测的科学性、准确性和可操作性。</w:t>
      </w:r>
    </w:p>
    <w:p w14:paraId="7BEDDBB5">
      <w:pPr>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意义：</w:t>
      </w:r>
    </w:p>
    <w:p w14:paraId="7FA6AF30">
      <w:pPr>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填补国内小直径芯样检测混凝土强度的标准空白，完善我国建筑工程检测标准体系；</w:t>
      </w:r>
    </w:p>
    <w:p w14:paraId="57C36321">
      <w:pPr>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降低检测对建筑结构的损伤，减少修复成本，提高业主对检测工作的配合度；</w:t>
      </w:r>
    </w:p>
    <w:p w14:paraId="60D83D80">
      <w:pPr>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推动建筑检测技术的微创化发展，提升行业整体技术水平和服务能力；</w:t>
      </w:r>
    </w:p>
    <w:p w14:paraId="518F187A">
      <w:pPr>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为既有建筑安全评估、工程质量纠纷鉴定提供可靠的技术依据，保障人民生命财产安全。</w:t>
      </w:r>
    </w:p>
    <w:p w14:paraId="6A5D1664">
      <w:pPr>
        <w:rPr>
          <w:rFonts w:hint="eastAsia" w:ascii="黑体" w:hAnsi="黑体" w:eastAsia="黑体" w:cs="Times New Roman"/>
          <w:color w:val="000000" w:themeColor="text1"/>
          <w:sz w:val="28"/>
          <w:szCs w:val="28"/>
          <w14:textFill>
            <w14:solidFill>
              <w14:schemeClr w14:val="tx1"/>
            </w14:solidFill>
          </w14:textFill>
        </w:rPr>
      </w:pPr>
      <w:r>
        <w:rPr>
          <w:rFonts w:hint="eastAsia" w:ascii="黑体" w:hAnsi="黑体" w:eastAsia="黑体" w:cs="Times New Roman"/>
          <w:color w:val="000000" w:themeColor="text1"/>
          <w:sz w:val="28"/>
          <w:szCs w:val="28"/>
          <w14:textFill>
            <w14:solidFill>
              <w14:schemeClr w14:val="tx1"/>
            </w14:solidFill>
          </w14:textFill>
        </w:rPr>
        <w:t>2 项目来源</w:t>
      </w:r>
    </w:p>
    <w:p w14:paraId="4ED6BF18">
      <w:pPr>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江苏省质量协会-苏质协[2026]19号-</w:t>
      </w:r>
      <w:r>
        <w:rPr>
          <w:rFonts w:hint="eastAsia" w:ascii="宋体" w:hAnsi="宋体" w:eastAsia="宋体" w:cs="Times New Roman"/>
          <w:color w:val="000000" w:themeColor="text1"/>
          <w:sz w:val="24"/>
          <w:szCs w:val="24"/>
          <w14:textFill>
            <w14:solidFill>
              <w14:schemeClr w14:val="tx1"/>
            </w14:solidFill>
          </w14:textFill>
        </w:rPr>
        <w:t>《微创钻芯</w:t>
      </w:r>
      <w:r>
        <w:rPr>
          <w:rFonts w:hint="eastAsia" w:ascii="宋体" w:hAnsi="宋体" w:eastAsia="宋体" w:cs="Times New Roman"/>
          <w:color w:val="000000" w:themeColor="text1"/>
          <w:sz w:val="24"/>
          <w:szCs w:val="24"/>
          <w:lang w:val="en-US" w:eastAsia="zh-CN"/>
          <w14:textFill>
            <w14:solidFill>
              <w14:schemeClr w14:val="tx1"/>
            </w14:solidFill>
          </w14:textFill>
        </w:rPr>
        <w:t>检测</w:t>
      </w:r>
      <w:r>
        <w:rPr>
          <w:rFonts w:hint="eastAsia" w:ascii="宋体" w:hAnsi="宋体" w:eastAsia="宋体" w:cs="Times New Roman"/>
          <w:color w:val="000000" w:themeColor="text1"/>
          <w:sz w:val="24"/>
          <w:szCs w:val="24"/>
          <w14:textFill>
            <w14:solidFill>
              <w14:schemeClr w14:val="tx1"/>
            </w14:solidFill>
          </w14:textFill>
        </w:rPr>
        <w:t>混凝土抗压强度技术</w:t>
      </w:r>
      <w:r>
        <w:rPr>
          <w:rFonts w:hint="eastAsia" w:ascii="宋体" w:hAnsi="宋体" w:eastAsia="宋体" w:cs="Times New Roman"/>
          <w:color w:val="000000" w:themeColor="text1"/>
          <w:sz w:val="24"/>
          <w:szCs w:val="24"/>
          <w:lang w:val="en-US" w:eastAsia="zh-CN"/>
          <w14:textFill>
            <w14:solidFill>
              <w14:schemeClr w14:val="tx1"/>
            </w14:solidFill>
          </w14:textFill>
        </w:rPr>
        <w:t>规范</w:t>
      </w:r>
      <w:r>
        <w:rPr>
          <w:rFonts w:hint="eastAsia" w:ascii="宋体" w:hAnsi="宋体" w:eastAsia="宋体" w:cs="Times New Roman"/>
          <w:color w:val="000000" w:themeColor="text1"/>
          <w:sz w:val="24"/>
          <w:szCs w:val="24"/>
          <w14:textFill>
            <w14:solidFill>
              <w14:schemeClr w14:val="tx1"/>
            </w14:solidFill>
          </w14:textFill>
        </w:rPr>
        <w:t>》</w:t>
      </w:r>
    </w:p>
    <w:p w14:paraId="40AC34BA">
      <w:pPr>
        <w:rPr>
          <w:rFonts w:hint="eastAsia" w:ascii="黑体" w:hAnsi="黑体" w:eastAsia="黑体" w:cs="Times New Roman"/>
          <w:color w:val="000000" w:themeColor="text1"/>
          <w:sz w:val="28"/>
          <w:szCs w:val="28"/>
          <w14:textFill>
            <w14:solidFill>
              <w14:schemeClr w14:val="tx1"/>
            </w14:solidFill>
          </w14:textFill>
        </w:rPr>
      </w:pPr>
      <w:r>
        <w:rPr>
          <w:rFonts w:hint="eastAsia" w:ascii="黑体" w:hAnsi="黑体" w:eastAsia="黑体" w:cs="Times New Roman"/>
          <w:color w:val="000000" w:themeColor="text1"/>
          <w:sz w:val="28"/>
          <w:szCs w:val="28"/>
          <w14:textFill>
            <w14:solidFill>
              <w14:schemeClr w14:val="tx1"/>
            </w14:solidFill>
          </w14:textFill>
        </w:rPr>
        <w:t>3 标准制定工作概况</w:t>
      </w:r>
    </w:p>
    <w:p w14:paraId="296F9CE3">
      <w:pPr>
        <w:rPr>
          <w:rFonts w:ascii="Times New Roman" w:cs="Times New Roman"/>
          <w:color w:val="000000" w:themeColor="text1"/>
          <w:sz w:val="28"/>
          <w:szCs w:val="28"/>
          <w14:textFill>
            <w14:solidFill>
              <w14:schemeClr w14:val="tx1"/>
            </w14:solidFill>
          </w14:textFill>
        </w:rPr>
      </w:pPr>
      <w:r>
        <w:rPr>
          <w:rFonts w:hint="eastAsia" w:ascii="Times New Roman" w:cs="Times New Roman"/>
          <w:color w:val="000000" w:themeColor="text1"/>
          <w:sz w:val="28"/>
          <w:szCs w:val="28"/>
          <w14:textFill>
            <w14:solidFill>
              <w14:schemeClr w14:val="tx1"/>
            </w14:solidFill>
          </w14:textFill>
        </w:rPr>
        <w:t>3.1 标准制定相关单位及人员</w:t>
      </w:r>
    </w:p>
    <w:tbl>
      <w:tblPr>
        <w:tblStyle w:val="6"/>
        <w:tblW w:w="8578" w:type="dxa"/>
        <w:jc w:val="center"/>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2"/>
        <w:gridCol w:w="2088"/>
        <w:gridCol w:w="2820"/>
        <w:gridCol w:w="1379"/>
        <w:gridCol w:w="1239"/>
      </w:tblGrid>
      <w:tr w14:paraId="4BCA128F">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1052" w:type="dxa"/>
            <w:vAlign w:val="center"/>
          </w:tcPr>
          <w:p w14:paraId="0F32501C">
            <w:pPr>
              <w:snapToGrid w:val="0"/>
              <w:jc w:val="center"/>
              <w:rPr>
                <w:rFonts w:hint="eastAsia" w:ascii="黑体" w:hAnsi="黑体" w:eastAsia="黑体" w:cs="方正黑体_GBK"/>
                <w:sz w:val="28"/>
                <w:szCs w:val="28"/>
              </w:rPr>
            </w:pPr>
            <w:r>
              <w:rPr>
                <w:rFonts w:hint="eastAsia" w:ascii="黑体" w:hAnsi="黑体" w:eastAsia="黑体" w:cs="方正黑体_GBK"/>
                <w:sz w:val="28"/>
                <w:szCs w:val="28"/>
              </w:rPr>
              <w:t>序号</w:t>
            </w:r>
          </w:p>
        </w:tc>
        <w:tc>
          <w:tcPr>
            <w:tcW w:w="2088" w:type="dxa"/>
            <w:vAlign w:val="center"/>
          </w:tcPr>
          <w:p w14:paraId="18380B88">
            <w:pPr>
              <w:snapToGrid w:val="0"/>
              <w:jc w:val="center"/>
              <w:rPr>
                <w:rFonts w:hint="eastAsia" w:ascii="黑体" w:hAnsi="黑体" w:eastAsia="黑体" w:cs="方正黑体_GBK"/>
                <w:sz w:val="28"/>
                <w:szCs w:val="28"/>
              </w:rPr>
            </w:pPr>
            <w:r>
              <w:rPr>
                <w:rFonts w:hint="eastAsia" w:ascii="黑体" w:hAnsi="黑体" w:eastAsia="黑体" w:cs="方正黑体_GBK"/>
                <w:sz w:val="28"/>
                <w:szCs w:val="28"/>
              </w:rPr>
              <w:t>姓名</w:t>
            </w:r>
          </w:p>
        </w:tc>
        <w:tc>
          <w:tcPr>
            <w:tcW w:w="2820" w:type="dxa"/>
            <w:vAlign w:val="center"/>
          </w:tcPr>
          <w:p w14:paraId="391F0D37">
            <w:pPr>
              <w:snapToGrid w:val="0"/>
              <w:jc w:val="center"/>
              <w:rPr>
                <w:rFonts w:hint="eastAsia" w:ascii="黑体" w:hAnsi="黑体" w:eastAsia="黑体" w:cs="方正黑体_GBK"/>
                <w:sz w:val="28"/>
                <w:szCs w:val="28"/>
              </w:rPr>
            </w:pPr>
            <w:r>
              <w:rPr>
                <w:rFonts w:hint="eastAsia" w:ascii="黑体" w:hAnsi="黑体" w:eastAsia="黑体" w:cs="方正黑体_GBK"/>
                <w:sz w:val="28"/>
                <w:szCs w:val="28"/>
              </w:rPr>
              <w:t>单位名称</w:t>
            </w:r>
          </w:p>
        </w:tc>
        <w:tc>
          <w:tcPr>
            <w:tcW w:w="1379" w:type="dxa"/>
            <w:vAlign w:val="center"/>
          </w:tcPr>
          <w:p w14:paraId="774AC248">
            <w:pPr>
              <w:snapToGrid w:val="0"/>
              <w:jc w:val="center"/>
              <w:rPr>
                <w:rFonts w:hint="eastAsia" w:ascii="黑体" w:hAnsi="黑体" w:eastAsia="黑体" w:cs="方正黑体_GBK"/>
                <w:sz w:val="28"/>
                <w:szCs w:val="28"/>
              </w:rPr>
            </w:pPr>
            <w:r>
              <w:rPr>
                <w:rFonts w:hint="eastAsia" w:ascii="黑体" w:hAnsi="黑体" w:eastAsia="黑体" w:cs="方正黑体_GBK"/>
                <w:sz w:val="28"/>
                <w:szCs w:val="28"/>
              </w:rPr>
              <w:t>职务/职称</w:t>
            </w:r>
          </w:p>
        </w:tc>
        <w:tc>
          <w:tcPr>
            <w:tcW w:w="1239" w:type="dxa"/>
            <w:vAlign w:val="center"/>
          </w:tcPr>
          <w:p w14:paraId="0A0C330E">
            <w:pPr>
              <w:snapToGrid w:val="0"/>
              <w:jc w:val="center"/>
              <w:rPr>
                <w:rFonts w:hint="eastAsia" w:ascii="黑体" w:hAnsi="黑体" w:eastAsia="黑体" w:cs="方正黑体_GBK"/>
                <w:sz w:val="28"/>
                <w:szCs w:val="28"/>
              </w:rPr>
            </w:pPr>
            <w:r>
              <w:rPr>
                <w:rFonts w:hint="eastAsia" w:ascii="黑体" w:hAnsi="黑体" w:eastAsia="黑体" w:cs="方正黑体_GBK"/>
                <w:sz w:val="28"/>
                <w:szCs w:val="28"/>
              </w:rPr>
              <w:t>分工</w:t>
            </w:r>
          </w:p>
        </w:tc>
      </w:tr>
      <w:tr w14:paraId="1BD95828">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52" w:type="dxa"/>
            <w:vAlign w:val="center"/>
          </w:tcPr>
          <w:p w14:paraId="2236CB92">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1</w:t>
            </w:r>
          </w:p>
        </w:tc>
        <w:tc>
          <w:tcPr>
            <w:tcW w:w="2088" w:type="dxa"/>
            <w:shd w:val="clear" w:color="auto" w:fill="auto"/>
            <w:vAlign w:val="center"/>
          </w:tcPr>
          <w:p w14:paraId="2B2C6ECA">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唐科</w:t>
            </w:r>
          </w:p>
        </w:tc>
        <w:tc>
          <w:tcPr>
            <w:tcW w:w="2820" w:type="dxa"/>
            <w:vAlign w:val="center"/>
          </w:tcPr>
          <w:p w14:paraId="62A3118C">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江苏方建质量鉴定检测有限公司</w:t>
            </w:r>
          </w:p>
        </w:tc>
        <w:tc>
          <w:tcPr>
            <w:tcW w:w="1379" w:type="dxa"/>
            <w:shd w:val="clear" w:color="auto" w:fill="auto"/>
            <w:vAlign w:val="center"/>
          </w:tcPr>
          <w:p w14:paraId="24E523B8">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高级工程师</w:t>
            </w:r>
          </w:p>
        </w:tc>
        <w:tc>
          <w:tcPr>
            <w:tcW w:w="1239" w:type="dxa"/>
            <w:vAlign w:val="center"/>
          </w:tcPr>
          <w:p w14:paraId="059806FD">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主持</w:t>
            </w:r>
          </w:p>
        </w:tc>
      </w:tr>
      <w:tr w14:paraId="5B85BF0B">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52" w:type="dxa"/>
            <w:vAlign w:val="center"/>
          </w:tcPr>
          <w:p w14:paraId="7C17A85B">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2</w:t>
            </w:r>
          </w:p>
        </w:tc>
        <w:tc>
          <w:tcPr>
            <w:tcW w:w="2088" w:type="dxa"/>
            <w:shd w:val="clear" w:color="auto" w:fill="auto"/>
            <w:vAlign w:val="center"/>
          </w:tcPr>
          <w:p w14:paraId="32A2A33F">
            <w:pPr>
              <w:jc w:val="center"/>
              <w:rPr>
                <w:rFonts w:hint="default"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夏华亮</w:t>
            </w:r>
          </w:p>
        </w:tc>
        <w:tc>
          <w:tcPr>
            <w:tcW w:w="2820" w:type="dxa"/>
            <w:shd w:val="clear" w:color="auto" w:fill="auto"/>
            <w:vAlign w:val="center"/>
          </w:tcPr>
          <w:p w14:paraId="245D68DA">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江苏方建质量鉴定检测有限公司</w:t>
            </w:r>
          </w:p>
        </w:tc>
        <w:tc>
          <w:tcPr>
            <w:tcW w:w="1379" w:type="dxa"/>
            <w:shd w:val="clear" w:color="auto" w:fill="auto"/>
            <w:vAlign w:val="center"/>
          </w:tcPr>
          <w:p w14:paraId="2E8C392E">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高级工程师</w:t>
            </w:r>
          </w:p>
        </w:tc>
        <w:tc>
          <w:tcPr>
            <w:tcW w:w="1239" w:type="dxa"/>
            <w:vAlign w:val="center"/>
          </w:tcPr>
          <w:p w14:paraId="547A6636">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主持</w:t>
            </w:r>
          </w:p>
        </w:tc>
      </w:tr>
      <w:tr w14:paraId="34940C0E">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jc w:val="center"/>
        </w:trPr>
        <w:tc>
          <w:tcPr>
            <w:tcW w:w="1052" w:type="dxa"/>
            <w:vAlign w:val="center"/>
          </w:tcPr>
          <w:p w14:paraId="34FEE156">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3</w:t>
            </w:r>
          </w:p>
        </w:tc>
        <w:tc>
          <w:tcPr>
            <w:tcW w:w="2088" w:type="dxa"/>
            <w:shd w:val="clear" w:color="auto" w:fill="auto"/>
            <w:vAlign w:val="center"/>
          </w:tcPr>
          <w:p w14:paraId="31178000">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李文斌</w:t>
            </w:r>
          </w:p>
        </w:tc>
        <w:tc>
          <w:tcPr>
            <w:tcW w:w="2820" w:type="dxa"/>
            <w:shd w:val="clear" w:color="auto" w:fill="auto"/>
            <w:vAlign w:val="center"/>
          </w:tcPr>
          <w:p w14:paraId="6D965F15">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中国二十二冶集团有限公司</w:t>
            </w:r>
          </w:p>
        </w:tc>
        <w:tc>
          <w:tcPr>
            <w:tcW w:w="1379" w:type="dxa"/>
            <w:shd w:val="clear" w:color="auto" w:fill="auto"/>
            <w:vAlign w:val="center"/>
          </w:tcPr>
          <w:p w14:paraId="3CCA95BA">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正高级工程师</w:t>
            </w:r>
          </w:p>
        </w:tc>
        <w:tc>
          <w:tcPr>
            <w:tcW w:w="1239" w:type="dxa"/>
            <w:vAlign w:val="center"/>
          </w:tcPr>
          <w:p w14:paraId="42DEC607">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指导</w:t>
            </w:r>
          </w:p>
        </w:tc>
      </w:tr>
      <w:tr w14:paraId="1A6BD0CA">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52" w:type="dxa"/>
            <w:vAlign w:val="center"/>
          </w:tcPr>
          <w:p w14:paraId="2E9F5093">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4</w:t>
            </w:r>
          </w:p>
        </w:tc>
        <w:tc>
          <w:tcPr>
            <w:tcW w:w="2088" w:type="dxa"/>
            <w:shd w:val="clear" w:color="auto" w:fill="auto"/>
            <w:vAlign w:val="center"/>
          </w:tcPr>
          <w:p w14:paraId="30E2E8ED">
            <w:pPr>
              <w:jc w:val="center"/>
              <w:rPr>
                <w:rFonts w:hint="default" w:ascii="宋体" w:hAnsi="宋体" w:eastAsia="宋体" w:cs="Times New Roman"/>
                <w:color w:val="000000" w:themeColor="text1"/>
                <w:sz w:val="24"/>
                <w:szCs w:val="24"/>
                <w:lang w:val="en-US" w:eastAsia="zh-CN"/>
                <w14:textFill>
                  <w14:solidFill>
                    <w14:schemeClr w14:val="tx1"/>
                  </w14:solidFill>
                </w14:textFill>
              </w:rPr>
            </w:pPr>
            <w:r>
              <w:rPr>
                <w:rFonts w:hint="default" w:ascii="宋体" w:hAnsi="宋体" w:eastAsia="宋体" w:cs="Times New Roman"/>
                <w:color w:val="000000" w:themeColor="text1"/>
                <w:sz w:val="24"/>
                <w:szCs w:val="24"/>
                <w:lang w:val="en-US" w:eastAsia="zh-CN"/>
                <w14:textFill>
                  <w14:solidFill>
                    <w14:schemeClr w14:val="tx1"/>
                  </w14:solidFill>
                </w14:textFill>
              </w:rPr>
              <w:t>邓    洋</w:t>
            </w:r>
          </w:p>
        </w:tc>
        <w:tc>
          <w:tcPr>
            <w:tcW w:w="2820" w:type="dxa"/>
            <w:shd w:val="clear" w:color="auto" w:fill="auto"/>
            <w:vAlign w:val="center"/>
          </w:tcPr>
          <w:p w14:paraId="0C0E978E">
            <w:pPr>
              <w:jc w:val="center"/>
              <w:rPr>
                <w:rFonts w:hint="default" w:ascii="宋体" w:hAnsi="宋体" w:eastAsia="宋体" w:cs="Times New Roman"/>
                <w:b/>
                <w:bCs/>
                <w:color w:val="000000" w:themeColor="text1"/>
                <w:sz w:val="24"/>
                <w:szCs w:val="24"/>
                <w:lang w:val="en-US" w:eastAsia="zh-CN"/>
                <w14:textFill>
                  <w14:solidFill>
                    <w14:schemeClr w14:val="tx1"/>
                  </w14:solidFill>
                </w14:textFill>
              </w:rPr>
            </w:pPr>
            <w:r>
              <w:rPr>
                <w:rFonts w:hint="default" w:ascii="宋体" w:hAnsi="宋体" w:eastAsia="宋体" w:cs="Times New Roman"/>
                <w:color w:val="000000" w:themeColor="text1"/>
                <w:sz w:val="24"/>
                <w:szCs w:val="24"/>
                <w:lang w:val="en-US" w:eastAsia="zh-CN"/>
                <w14:textFill>
                  <w14:solidFill>
                    <w14:schemeClr w14:val="tx1"/>
                  </w14:solidFill>
                </w14:textFill>
              </w:rPr>
              <w:t>中国二十二冶集团有限公司</w:t>
            </w:r>
          </w:p>
        </w:tc>
        <w:tc>
          <w:tcPr>
            <w:tcW w:w="1379" w:type="dxa"/>
            <w:shd w:val="clear" w:color="auto" w:fill="auto"/>
            <w:vAlign w:val="center"/>
          </w:tcPr>
          <w:p w14:paraId="26D8D2B1">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工程师</w:t>
            </w:r>
          </w:p>
        </w:tc>
        <w:tc>
          <w:tcPr>
            <w:tcW w:w="1239" w:type="dxa"/>
            <w:vAlign w:val="center"/>
          </w:tcPr>
          <w:p w14:paraId="67179B4D">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指导</w:t>
            </w:r>
          </w:p>
        </w:tc>
      </w:tr>
      <w:tr w14:paraId="32840C04">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52" w:type="dxa"/>
            <w:vAlign w:val="center"/>
          </w:tcPr>
          <w:p w14:paraId="3535A628">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5</w:t>
            </w:r>
          </w:p>
        </w:tc>
        <w:tc>
          <w:tcPr>
            <w:tcW w:w="2088" w:type="dxa"/>
            <w:shd w:val="clear" w:color="auto" w:fill="auto"/>
            <w:vAlign w:val="center"/>
          </w:tcPr>
          <w:p w14:paraId="66341F06">
            <w:pPr>
              <w:jc w:val="center"/>
              <w:rPr>
                <w:rFonts w:hint="default"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刘传贤</w:t>
            </w:r>
          </w:p>
        </w:tc>
        <w:tc>
          <w:tcPr>
            <w:tcW w:w="2820" w:type="dxa"/>
            <w:shd w:val="clear" w:color="auto" w:fill="auto"/>
            <w:vAlign w:val="center"/>
          </w:tcPr>
          <w:p w14:paraId="789728DB">
            <w:pPr>
              <w:jc w:val="center"/>
              <w:rPr>
                <w:rFonts w:hint="default"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泗洪江苏方建工程质量检测有限公司</w:t>
            </w:r>
          </w:p>
        </w:tc>
        <w:tc>
          <w:tcPr>
            <w:tcW w:w="1379" w:type="dxa"/>
            <w:shd w:val="clear" w:color="auto" w:fill="auto"/>
            <w:vAlign w:val="center"/>
          </w:tcPr>
          <w:p w14:paraId="5A07472D">
            <w:pPr>
              <w:jc w:val="center"/>
              <w:rPr>
                <w:rFonts w:hint="default"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工程师</w:t>
            </w:r>
          </w:p>
        </w:tc>
        <w:tc>
          <w:tcPr>
            <w:tcW w:w="1239" w:type="dxa"/>
            <w:vAlign w:val="center"/>
          </w:tcPr>
          <w:p w14:paraId="64427FA8">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编制</w:t>
            </w:r>
          </w:p>
        </w:tc>
      </w:tr>
      <w:tr w14:paraId="22334012">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052" w:type="dxa"/>
            <w:vAlign w:val="center"/>
          </w:tcPr>
          <w:p w14:paraId="0ECDB898">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6</w:t>
            </w:r>
          </w:p>
        </w:tc>
        <w:tc>
          <w:tcPr>
            <w:tcW w:w="2088" w:type="dxa"/>
            <w:shd w:val="clear" w:color="auto" w:fill="auto"/>
            <w:vAlign w:val="center"/>
          </w:tcPr>
          <w:p w14:paraId="052F491C">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赵雪磊</w:t>
            </w:r>
          </w:p>
        </w:tc>
        <w:tc>
          <w:tcPr>
            <w:tcW w:w="2820" w:type="dxa"/>
            <w:shd w:val="clear" w:color="auto" w:fill="auto"/>
            <w:vAlign w:val="center"/>
          </w:tcPr>
          <w:p w14:paraId="021458E5">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江苏方建质量鉴定检测有限公司</w:t>
            </w:r>
          </w:p>
        </w:tc>
        <w:tc>
          <w:tcPr>
            <w:tcW w:w="1379" w:type="dxa"/>
            <w:shd w:val="clear" w:color="auto" w:fill="auto"/>
            <w:vAlign w:val="center"/>
          </w:tcPr>
          <w:p w14:paraId="61A2F2A0">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高级工程师</w:t>
            </w:r>
          </w:p>
        </w:tc>
        <w:tc>
          <w:tcPr>
            <w:tcW w:w="1239" w:type="dxa"/>
            <w:shd w:val="clear" w:color="auto" w:fill="auto"/>
            <w:vAlign w:val="center"/>
          </w:tcPr>
          <w:p w14:paraId="4342CF20">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编制</w:t>
            </w:r>
          </w:p>
        </w:tc>
      </w:tr>
      <w:tr w14:paraId="77CCEF72">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052" w:type="dxa"/>
            <w:vAlign w:val="center"/>
          </w:tcPr>
          <w:p w14:paraId="7EA7F695">
            <w:pPr>
              <w:jc w:val="center"/>
              <w:rPr>
                <w:rFonts w:hint="default"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7</w:t>
            </w:r>
          </w:p>
        </w:tc>
        <w:tc>
          <w:tcPr>
            <w:tcW w:w="2088" w:type="dxa"/>
            <w:shd w:val="clear" w:color="auto" w:fill="auto"/>
            <w:vAlign w:val="center"/>
          </w:tcPr>
          <w:p w14:paraId="1912A951">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蒋志学</w:t>
            </w:r>
          </w:p>
        </w:tc>
        <w:tc>
          <w:tcPr>
            <w:tcW w:w="2820" w:type="dxa"/>
            <w:shd w:val="clear" w:color="auto" w:fill="auto"/>
            <w:vAlign w:val="center"/>
          </w:tcPr>
          <w:p w14:paraId="0609EF7C">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江苏方建质量鉴定检测有限公司</w:t>
            </w:r>
          </w:p>
        </w:tc>
        <w:tc>
          <w:tcPr>
            <w:tcW w:w="1379" w:type="dxa"/>
            <w:shd w:val="clear" w:color="auto" w:fill="auto"/>
            <w:vAlign w:val="center"/>
          </w:tcPr>
          <w:p w14:paraId="4798FCCD">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工程师</w:t>
            </w:r>
          </w:p>
        </w:tc>
        <w:tc>
          <w:tcPr>
            <w:tcW w:w="1239" w:type="dxa"/>
            <w:shd w:val="clear" w:color="auto" w:fill="auto"/>
            <w:vAlign w:val="center"/>
          </w:tcPr>
          <w:p w14:paraId="36CD0EC0">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编制</w:t>
            </w:r>
          </w:p>
        </w:tc>
      </w:tr>
      <w:tr w14:paraId="3FA8FD98">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052" w:type="dxa"/>
            <w:vAlign w:val="center"/>
          </w:tcPr>
          <w:p w14:paraId="7973048B">
            <w:pPr>
              <w:jc w:val="center"/>
              <w:rPr>
                <w:rFonts w:hint="default"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8</w:t>
            </w:r>
          </w:p>
        </w:tc>
        <w:tc>
          <w:tcPr>
            <w:tcW w:w="2088" w:type="dxa"/>
            <w:shd w:val="clear" w:color="auto" w:fill="auto"/>
            <w:vAlign w:val="center"/>
          </w:tcPr>
          <w:p w14:paraId="6A11D2C1">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p>
        </w:tc>
        <w:tc>
          <w:tcPr>
            <w:tcW w:w="2820" w:type="dxa"/>
            <w:shd w:val="clear" w:color="auto" w:fill="auto"/>
            <w:vAlign w:val="center"/>
          </w:tcPr>
          <w:p w14:paraId="4036AFFA">
            <w:pPr>
              <w:jc w:val="center"/>
              <w:rPr>
                <w:rFonts w:hint="default"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南京建正工程质量检测中心</w:t>
            </w:r>
          </w:p>
        </w:tc>
        <w:tc>
          <w:tcPr>
            <w:tcW w:w="1379" w:type="dxa"/>
            <w:shd w:val="clear" w:color="auto" w:fill="auto"/>
            <w:vAlign w:val="center"/>
          </w:tcPr>
          <w:p w14:paraId="0085E8D5">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p>
        </w:tc>
        <w:tc>
          <w:tcPr>
            <w:tcW w:w="1239" w:type="dxa"/>
            <w:shd w:val="clear" w:color="auto" w:fill="auto"/>
            <w:vAlign w:val="center"/>
          </w:tcPr>
          <w:p w14:paraId="5203D0D8">
            <w:pPr>
              <w:jc w:val="center"/>
              <w:rPr>
                <w:rFonts w:hint="default"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校对</w:t>
            </w:r>
          </w:p>
        </w:tc>
      </w:tr>
      <w:tr w14:paraId="08C2F2AA">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052" w:type="dxa"/>
            <w:vAlign w:val="center"/>
          </w:tcPr>
          <w:p w14:paraId="29D5F958">
            <w:pPr>
              <w:jc w:val="center"/>
              <w:rPr>
                <w:rFonts w:hint="default"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9</w:t>
            </w:r>
          </w:p>
        </w:tc>
        <w:tc>
          <w:tcPr>
            <w:tcW w:w="2088" w:type="dxa"/>
            <w:shd w:val="clear" w:color="auto" w:fill="auto"/>
            <w:vAlign w:val="center"/>
          </w:tcPr>
          <w:p w14:paraId="2C4DCAAE">
            <w:pPr>
              <w:jc w:val="center"/>
              <w:rPr>
                <w:rFonts w:hint="default"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张玉亮</w:t>
            </w:r>
          </w:p>
        </w:tc>
        <w:tc>
          <w:tcPr>
            <w:tcW w:w="2820" w:type="dxa"/>
            <w:shd w:val="clear" w:color="auto" w:fill="auto"/>
            <w:vAlign w:val="center"/>
          </w:tcPr>
          <w:p w14:paraId="707EB752">
            <w:pPr>
              <w:jc w:val="center"/>
              <w:rPr>
                <w:rFonts w:hint="default"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潍坊市建筑业发展服务中心</w:t>
            </w:r>
          </w:p>
        </w:tc>
        <w:tc>
          <w:tcPr>
            <w:tcW w:w="1379" w:type="dxa"/>
            <w:shd w:val="clear" w:color="auto" w:fill="auto"/>
            <w:vAlign w:val="center"/>
          </w:tcPr>
          <w:p w14:paraId="03B4E213">
            <w:pPr>
              <w:jc w:val="center"/>
              <w:rPr>
                <w:rFonts w:hint="default"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工程师</w:t>
            </w:r>
          </w:p>
        </w:tc>
        <w:tc>
          <w:tcPr>
            <w:tcW w:w="1239" w:type="dxa"/>
            <w:shd w:val="clear" w:color="auto" w:fill="auto"/>
            <w:vAlign w:val="center"/>
          </w:tcPr>
          <w:p w14:paraId="29E7E1DA">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校对</w:t>
            </w:r>
          </w:p>
        </w:tc>
      </w:tr>
      <w:tr w14:paraId="6D8A4604">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052" w:type="dxa"/>
            <w:vAlign w:val="center"/>
          </w:tcPr>
          <w:p w14:paraId="5EF296CF">
            <w:pPr>
              <w:jc w:val="center"/>
              <w:rPr>
                <w:rFonts w:hint="default" w:ascii="宋体" w:hAnsi="宋体" w:eastAsia="宋体" w:cs="Times New Roman"/>
                <w:color w:val="000000" w:themeColor="text1"/>
                <w:sz w:val="24"/>
                <w:szCs w:val="24"/>
                <w:lang w:val="en-US" w:eastAsia="zh-CN"/>
                <w14:textFill>
                  <w14:solidFill>
                    <w14:schemeClr w14:val="tx1"/>
                  </w14:solidFill>
                </w14:textFill>
              </w:rPr>
            </w:pPr>
            <w:bookmarkStart w:id="0" w:name="_GoBack" w:colFirst="2" w:colLast="3"/>
            <w:r>
              <w:rPr>
                <w:rFonts w:hint="eastAsia" w:ascii="宋体" w:hAnsi="宋体" w:eastAsia="宋体" w:cs="Times New Roman"/>
                <w:color w:val="000000" w:themeColor="text1"/>
                <w:sz w:val="24"/>
                <w:szCs w:val="24"/>
                <w:lang w:val="en-US" w:eastAsia="zh-CN"/>
                <w14:textFill>
                  <w14:solidFill>
                    <w14:schemeClr w14:val="tx1"/>
                  </w14:solidFill>
                </w14:textFill>
              </w:rPr>
              <w:t>10</w:t>
            </w:r>
          </w:p>
        </w:tc>
        <w:tc>
          <w:tcPr>
            <w:tcW w:w="2088" w:type="dxa"/>
            <w:shd w:val="clear" w:color="auto" w:fill="auto"/>
            <w:vAlign w:val="center"/>
          </w:tcPr>
          <w:p w14:paraId="447A0E9D">
            <w:pPr>
              <w:jc w:val="center"/>
              <w:rPr>
                <w:rFonts w:hint="default"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邹丽伟</w:t>
            </w:r>
          </w:p>
        </w:tc>
        <w:tc>
          <w:tcPr>
            <w:tcW w:w="2820" w:type="dxa"/>
            <w:shd w:val="clear" w:color="auto" w:fill="auto"/>
            <w:vAlign w:val="center"/>
          </w:tcPr>
          <w:p w14:paraId="5222286F">
            <w:pPr>
              <w:jc w:val="center"/>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潍坊市建筑业发展服务中心</w:t>
            </w:r>
          </w:p>
        </w:tc>
        <w:tc>
          <w:tcPr>
            <w:tcW w:w="1379" w:type="dxa"/>
            <w:shd w:val="clear" w:color="auto" w:fill="auto"/>
            <w:vAlign w:val="center"/>
          </w:tcPr>
          <w:p w14:paraId="7F4606C8">
            <w:pPr>
              <w:jc w:val="center"/>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工程师</w:t>
            </w:r>
          </w:p>
        </w:tc>
        <w:tc>
          <w:tcPr>
            <w:tcW w:w="1239" w:type="dxa"/>
            <w:shd w:val="clear" w:color="auto" w:fill="auto"/>
            <w:vAlign w:val="center"/>
          </w:tcPr>
          <w:p w14:paraId="712ACED7">
            <w:pPr>
              <w:jc w:val="center"/>
              <w:rPr>
                <w:rFonts w:hint="eastAsia"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校对</w:t>
            </w:r>
          </w:p>
        </w:tc>
      </w:tr>
      <w:bookmarkEnd w:id="0"/>
      <w:tr w14:paraId="13DB0F3D">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052" w:type="dxa"/>
            <w:vAlign w:val="center"/>
          </w:tcPr>
          <w:p w14:paraId="342849F3">
            <w:pPr>
              <w:jc w:val="center"/>
              <w:rPr>
                <w:rFonts w:hint="default"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11</w:t>
            </w:r>
          </w:p>
        </w:tc>
        <w:tc>
          <w:tcPr>
            <w:tcW w:w="2088" w:type="dxa"/>
            <w:shd w:val="clear" w:color="auto" w:fill="auto"/>
            <w:vAlign w:val="center"/>
          </w:tcPr>
          <w:p w14:paraId="2C740F04">
            <w:pPr>
              <w:jc w:val="center"/>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唐国才</w:t>
            </w:r>
          </w:p>
        </w:tc>
        <w:tc>
          <w:tcPr>
            <w:tcW w:w="2820" w:type="dxa"/>
            <w:shd w:val="clear" w:color="auto" w:fill="auto"/>
            <w:vAlign w:val="center"/>
          </w:tcPr>
          <w:p w14:paraId="0BF063E5">
            <w:pPr>
              <w:jc w:val="center"/>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江苏方建质量鉴定检测有限公司</w:t>
            </w:r>
          </w:p>
        </w:tc>
        <w:tc>
          <w:tcPr>
            <w:tcW w:w="1379" w:type="dxa"/>
            <w:shd w:val="clear" w:color="auto" w:fill="auto"/>
            <w:vAlign w:val="center"/>
          </w:tcPr>
          <w:p w14:paraId="4BF41165">
            <w:pPr>
              <w:jc w:val="center"/>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研究员级高级工程师</w:t>
            </w:r>
          </w:p>
        </w:tc>
        <w:tc>
          <w:tcPr>
            <w:tcW w:w="1239" w:type="dxa"/>
            <w:shd w:val="clear" w:color="auto" w:fill="auto"/>
            <w:vAlign w:val="center"/>
          </w:tcPr>
          <w:p w14:paraId="66C9C698">
            <w:pPr>
              <w:jc w:val="center"/>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指导</w:t>
            </w:r>
          </w:p>
        </w:tc>
      </w:tr>
    </w:tbl>
    <w:p w14:paraId="64243456">
      <w:pPr>
        <w:rPr>
          <w:rFonts w:hint="eastAsia" w:ascii="宋体" w:hAnsi="宋体" w:eastAsia="宋体" w:cs="Times New Roman"/>
          <w:color w:val="000000" w:themeColor="text1"/>
          <w:sz w:val="24"/>
          <w:szCs w:val="24"/>
          <w14:textFill>
            <w14:solidFill>
              <w14:schemeClr w14:val="tx1"/>
            </w14:solidFill>
          </w14:textFill>
        </w:rPr>
      </w:pPr>
    </w:p>
    <w:p w14:paraId="3BA81BD3">
      <w:pPr>
        <w:rPr>
          <w:rFonts w:hint="eastAsia" w:ascii="宋体" w:hAnsi="宋体" w:eastAsia="宋体" w:cs="Times New Roman"/>
          <w:iCs/>
          <w:sz w:val="18"/>
          <w:szCs w:val="18"/>
        </w:rPr>
      </w:pPr>
      <w:r>
        <w:rPr>
          <w:rFonts w:hint="eastAsia" w:ascii="宋体" w:hAnsi="宋体" w:eastAsia="宋体" w:cs="Times New Roman"/>
          <w:iCs/>
          <w:sz w:val="18"/>
          <w:szCs w:val="18"/>
        </w:rPr>
        <w:t>（提示：承担标准主要起草工作的单位（不少于3个）、参与起草的人员及职责）</w:t>
      </w:r>
    </w:p>
    <w:p w14:paraId="598780F5">
      <w:pPr>
        <w:rPr>
          <w:rFonts w:ascii="Times New Roman" w:cs="Times New Roman"/>
          <w:color w:val="000000" w:themeColor="text1"/>
          <w:sz w:val="28"/>
          <w:szCs w:val="28"/>
          <w14:textFill>
            <w14:solidFill>
              <w14:schemeClr w14:val="tx1"/>
            </w14:solidFill>
          </w14:textFill>
        </w:rPr>
      </w:pPr>
      <w:r>
        <w:rPr>
          <w:rFonts w:hint="eastAsia" w:ascii="Times New Roman" w:cs="Times New Roman"/>
          <w:color w:val="000000" w:themeColor="text1"/>
          <w:sz w:val="28"/>
          <w:szCs w:val="28"/>
          <w14:textFill>
            <w14:solidFill>
              <w14:schemeClr w14:val="tx1"/>
            </w14:solidFill>
          </w14:textFill>
        </w:rPr>
        <w:t>3.2 主要工作过程</w:t>
      </w:r>
    </w:p>
    <w:p w14:paraId="7354E8F6">
      <w:pPr>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前期准备：20</w:t>
      </w:r>
      <w:r>
        <w:rPr>
          <w:rFonts w:hint="eastAsia" w:ascii="宋体" w:hAnsi="宋体" w:eastAsia="宋体" w:cs="Times New Roman"/>
          <w:color w:val="000000" w:themeColor="text1"/>
          <w:sz w:val="24"/>
          <w:szCs w:val="24"/>
          <w:lang w:val="en-US" w:eastAsia="zh-CN"/>
          <w14:textFill>
            <w14:solidFill>
              <w14:schemeClr w14:val="tx1"/>
            </w14:solidFill>
          </w14:textFill>
        </w:rPr>
        <w:t>26</w:t>
      </w:r>
      <w:r>
        <w:rPr>
          <w:rFonts w:hint="eastAsia" w:ascii="宋体" w:hAnsi="宋体" w:eastAsia="宋体" w:cs="Times New Roman"/>
          <w:color w:val="000000" w:themeColor="text1"/>
          <w:sz w:val="24"/>
          <w:szCs w:val="24"/>
          <w14:textFill>
            <w14:solidFill>
              <w14:schemeClr w14:val="tx1"/>
            </w14:solidFill>
          </w14:textFill>
        </w:rPr>
        <w:t>年</w:t>
      </w:r>
      <w:r>
        <w:rPr>
          <w:rFonts w:hint="eastAsia" w:ascii="宋体" w:hAnsi="宋体" w:eastAsia="宋体" w:cs="Times New Roman"/>
          <w:color w:val="000000" w:themeColor="text1"/>
          <w:sz w:val="24"/>
          <w:szCs w:val="24"/>
          <w:lang w:val="en-US" w:eastAsia="zh-CN"/>
          <w14:textFill>
            <w14:solidFill>
              <w14:schemeClr w14:val="tx1"/>
            </w14:solidFill>
          </w14:textFill>
        </w:rPr>
        <w:t>4</w:t>
      </w:r>
      <w:r>
        <w:rPr>
          <w:rFonts w:hint="eastAsia" w:ascii="宋体" w:hAnsi="宋体" w:eastAsia="宋体" w:cs="Times New Roman"/>
          <w:color w:val="000000" w:themeColor="text1"/>
          <w:sz w:val="24"/>
          <w:szCs w:val="24"/>
          <w14:textFill>
            <w14:solidFill>
              <w14:schemeClr w14:val="tx1"/>
            </w14:solidFill>
          </w14:textFill>
        </w:rPr>
        <w:t>月，成立标准起草工作组，明确分工；进行文献调研、市场调研、技术现状分析；确定标准框架和主要技术内容方向。</w:t>
      </w:r>
    </w:p>
    <w:p w14:paraId="46E722AB">
      <w:pPr>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草案起草：20</w:t>
      </w:r>
      <w:r>
        <w:rPr>
          <w:rFonts w:hint="eastAsia" w:ascii="宋体" w:hAnsi="宋体" w:eastAsia="宋体" w:cs="Times New Roman"/>
          <w:color w:val="000000" w:themeColor="text1"/>
          <w:sz w:val="24"/>
          <w:szCs w:val="24"/>
          <w:lang w:val="en-US" w:eastAsia="zh-CN"/>
          <w14:textFill>
            <w14:solidFill>
              <w14:schemeClr w14:val="tx1"/>
            </w14:solidFill>
          </w14:textFill>
        </w:rPr>
        <w:t>26</w:t>
      </w:r>
      <w:r>
        <w:rPr>
          <w:rFonts w:hint="eastAsia" w:ascii="宋体" w:hAnsi="宋体" w:eastAsia="宋体" w:cs="Times New Roman"/>
          <w:color w:val="000000" w:themeColor="text1"/>
          <w:sz w:val="24"/>
          <w:szCs w:val="24"/>
          <w14:textFill>
            <w14:solidFill>
              <w14:schemeClr w14:val="tx1"/>
            </w14:solidFill>
          </w14:textFill>
        </w:rPr>
        <w:t>年</w:t>
      </w:r>
      <w:r>
        <w:rPr>
          <w:rFonts w:hint="eastAsia" w:ascii="宋体" w:hAnsi="宋体" w:eastAsia="宋体" w:cs="Times New Roman"/>
          <w:color w:val="000000" w:themeColor="text1"/>
          <w:sz w:val="24"/>
          <w:szCs w:val="24"/>
          <w:lang w:val="en-US" w:eastAsia="zh-CN"/>
          <w14:textFill>
            <w14:solidFill>
              <w14:schemeClr w14:val="tx1"/>
            </w14:solidFill>
          </w14:textFill>
        </w:rPr>
        <w:t>6</w:t>
      </w:r>
      <w:r>
        <w:rPr>
          <w:rFonts w:hint="eastAsia" w:ascii="宋体" w:hAnsi="宋体" w:eastAsia="宋体" w:cs="Times New Roman"/>
          <w:color w:val="000000" w:themeColor="text1"/>
          <w:sz w:val="24"/>
          <w:szCs w:val="24"/>
          <w14:textFill>
            <w14:solidFill>
              <w14:schemeClr w14:val="tx1"/>
            </w14:solidFill>
          </w14:textFill>
        </w:rPr>
        <w:t>月，工作组内部讨论、起草标准草案初稿（工作组讨论稿），多次工作组会议对草案进行讨论、修改、完善，形成征求意见稿。</w:t>
      </w:r>
    </w:p>
    <w:p w14:paraId="5CC0AA03">
      <w:pPr>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征求意见阶段：</w:t>
      </w:r>
    </w:p>
    <w:p w14:paraId="4C18260C">
      <w:pPr>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征求意见时间：</w:t>
      </w:r>
      <w:r>
        <w:rPr>
          <w:rFonts w:hint="eastAsia" w:ascii="宋体" w:hAnsi="宋体" w:eastAsia="宋体" w:cs="Times New Roman"/>
          <w:color w:val="000000" w:themeColor="text1"/>
          <w:sz w:val="24"/>
          <w:szCs w:val="24"/>
          <w:lang w:val="en-US" w:eastAsia="zh-CN"/>
          <w14:textFill>
            <w14:solidFill>
              <w14:schemeClr w14:val="tx1"/>
            </w14:solidFill>
          </w14:textFill>
        </w:rPr>
        <w:t>2026年6月15日~2026年7月1日</w:t>
      </w:r>
      <w:r>
        <w:rPr>
          <w:rFonts w:hint="eastAsia" w:ascii="宋体" w:hAnsi="宋体" w:eastAsia="宋体" w:cs="Times New Roman"/>
          <w:color w:val="000000" w:themeColor="text1"/>
          <w:sz w:val="24"/>
          <w:szCs w:val="24"/>
          <w14:textFill>
            <w14:solidFill>
              <w14:schemeClr w14:val="tx1"/>
            </w14:solidFill>
          </w14:textFill>
        </w:rPr>
        <w:t>。</w:t>
      </w:r>
    </w:p>
    <w:p w14:paraId="077C2C4F">
      <w:pPr>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意见汇总处理：共发函  份，收到回复  份，反馈的修改意见  条，其中采纳  条、部分采纳  条、不采纳  条（详见意见汇总处理表）。</w:t>
      </w:r>
    </w:p>
    <w:p w14:paraId="121CEF03">
      <w:pPr>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修改情况：根据意见对征求意见稿进行修改后，形成标准送审稿。）</w:t>
      </w:r>
    </w:p>
    <w:p w14:paraId="700412F2">
      <w:pPr>
        <w:rPr>
          <w:rFonts w:hint="eastAsia" w:ascii="黑体" w:hAnsi="黑体" w:eastAsia="黑体" w:cs="Times New Roman"/>
          <w:color w:val="000000" w:themeColor="text1"/>
          <w:sz w:val="28"/>
          <w:szCs w:val="28"/>
          <w14:textFill>
            <w14:solidFill>
              <w14:schemeClr w14:val="tx1"/>
            </w14:solidFill>
          </w14:textFill>
        </w:rPr>
      </w:pPr>
      <w:r>
        <w:rPr>
          <w:rFonts w:hint="eastAsia" w:ascii="黑体" w:hAnsi="黑体" w:eastAsia="黑体" w:cs="Times New Roman"/>
          <w:color w:val="000000" w:themeColor="text1"/>
          <w:sz w:val="28"/>
          <w:szCs w:val="28"/>
          <w14:textFill>
            <w14:solidFill>
              <w14:schemeClr w14:val="tx1"/>
            </w14:solidFill>
          </w14:textFill>
        </w:rPr>
        <w:t>4 标准编制原则、主要内容及确定依据</w:t>
      </w:r>
    </w:p>
    <w:p w14:paraId="6757D17C">
      <w:pPr>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4.1 编制原则</w:t>
      </w:r>
    </w:p>
    <w:p w14:paraId="456DB11E">
      <w:pPr>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本标准的编制严格遵循了适用性、规范性、先进性和科学性四大核心原则，旨在为混凝土抗压强度的微创检测提供一套统一、可靠的技术依据。</w:t>
      </w:r>
    </w:p>
    <w:p w14:paraId="501761D7">
      <w:pPr>
        <w:ind w:firstLine="482"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b/>
          <w:bCs/>
          <w:color w:val="000000" w:themeColor="text1"/>
          <w:sz w:val="24"/>
          <w:szCs w:val="24"/>
          <w14:textFill>
            <w14:solidFill>
              <w14:schemeClr w14:val="tx1"/>
            </w14:solidFill>
          </w14:textFill>
        </w:rPr>
        <w:t>适用性原则：</w:t>
      </w:r>
      <w:r>
        <w:rPr>
          <w:rFonts w:hint="eastAsia" w:ascii="宋体" w:hAnsi="宋体" w:eastAsia="宋体" w:cs="Times New Roman"/>
          <w:color w:val="000000" w:themeColor="text1"/>
          <w:sz w:val="24"/>
          <w:szCs w:val="24"/>
          <w14:textFill>
            <w14:solidFill>
              <w14:schemeClr w14:val="tx1"/>
            </w14:solidFill>
          </w14:textFill>
        </w:rPr>
        <w:t>标准紧密围绕城市更新和建筑工程安全管理的实际需求，聚焦于既有、新建、改建、扩建及加固工程中的混凝土构件检测。通过采用微创钻芯法，有效解决了传统检测方法对建筑结构造成较大损伤的痛点，具有极强的工程应用价值。</w:t>
      </w:r>
    </w:p>
    <w:p w14:paraId="2EB1C48C">
      <w:pPr>
        <w:ind w:firstLine="482"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b/>
          <w:bCs/>
          <w:color w:val="000000" w:themeColor="text1"/>
          <w:sz w:val="24"/>
          <w:szCs w:val="24"/>
          <w14:textFill>
            <w14:solidFill>
              <w14:schemeClr w14:val="tx1"/>
            </w14:solidFill>
          </w14:textFill>
        </w:rPr>
        <w:t>规范性原则：</w:t>
      </w:r>
      <w:r>
        <w:rPr>
          <w:rFonts w:hint="eastAsia" w:ascii="宋体" w:hAnsi="宋体" w:eastAsia="宋体" w:cs="Times New Roman"/>
          <w:color w:val="000000" w:themeColor="text1"/>
          <w:sz w:val="24"/>
          <w:szCs w:val="24"/>
          <w14:textFill>
            <w14:solidFill>
              <w14:schemeClr w14:val="tx1"/>
            </w14:solidFill>
          </w14:textFill>
        </w:rPr>
        <w:t>标准严格按照GB/T 1.1—2020《标准化工作导则 第1部分：标准化文件的结构和起草规则》的规定进行起草，确保了文件结构和编写格式的规范性。同时，标准对检测设备、芯样钻取、试件加工、强度计算与推定等全流程进行了明确规定，保证了检测工作的规范化和可操作性。</w:t>
      </w:r>
    </w:p>
    <w:p w14:paraId="224B8CE1">
      <w:pPr>
        <w:ind w:firstLine="482"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b/>
          <w:bCs/>
          <w:color w:val="000000" w:themeColor="text1"/>
          <w:sz w:val="24"/>
          <w:szCs w:val="24"/>
          <w14:textFill>
            <w14:solidFill>
              <w14:schemeClr w14:val="tx1"/>
            </w14:solidFill>
          </w14:textFill>
        </w:rPr>
        <w:t>先进性原则：</w:t>
      </w:r>
      <w:r>
        <w:rPr>
          <w:rFonts w:hint="eastAsia" w:ascii="宋体" w:hAnsi="宋体" w:eastAsia="宋体" w:cs="Times New Roman"/>
          <w:color w:val="000000" w:themeColor="text1"/>
          <w:sz w:val="24"/>
          <w:szCs w:val="24"/>
          <w14:textFill>
            <w14:solidFill>
              <w14:schemeClr w14:val="tx1"/>
            </w14:solidFill>
          </w14:textFill>
        </w:rPr>
        <w:t>标准创新性地提出了采用直径为20mm和36mm的小直径芯样进行检测，相较于传统钻芯法，显著减小了对结构构件的损伤，体现了“微创”的技术先进性。同时，标准引入了统计学中的推定区间概念，使混凝土强度的推定结果更具科学性和可靠性。</w:t>
      </w:r>
    </w:p>
    <w:p w14:paraId="601FB964">
      <w:pPr>
        <w:ind w:firstLine="482"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b/>
          <w:bCs/>
          <w:color w:val="000000" w:themeColor="text1"/>
          <w:sz w:val="24"/>
          <w:szCs w:val="24"/>
          <w14:textFill>
            <w14:solidFill>
              <w14:schemeClr w14:val="tx1"/>
            </w14:solidFill>
          </w14:textFill>
        </w:rPr>
        <w:t>科学性原则：</w:t>
      </w:r>
      <w:r>
        <w:rPr>
          <w:rFonts w:hint="eastAsia" w:ascii="宋体" w:hAnsi="宋体" w:eastAsia="宋体" w:cs="Times New Roman"/>
          <w:color w:val="000000" w:themeColor="text1"/>
          <w:sz w:val="24"/>
          <w:szCs w:val="24"/>
          <w14:textFill>
            <w14:solidFill>
              <w14:schemeClr w14:val="tx1"/>
            </w14:solidFill>
          </w14:textFill>
        </w:rPr>
        <w:t>标准的各项技术指标和试验方法均建立在广泛的调查研究、实践经验总结和参考国家及地方相关标准的基础上。例如，芯样尺寸、高径比、加荷速度等关键参数的确定，以及强度推定公式的选用，均有充分的理论和实践依据，确保了标准的科学严谨。</w:t>
      </w:r>
    </w:p>
    <w:p w14:paraId="75619191">
      <w:pPr>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4.2 主要内容及确定依据</w:t>
      </w:r>
    </w:p>
    <w:p w14:paraId="3B1A5020">
      <w:pPr>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4.2.1 标准结构</w:t>
      </w:r>
    </w:p>
    <w:p w14:paraId="5F1F6195">
      <w:pPr>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本标准共包含9个章节和2个附录，整体框架清晰，逻辑严密，涵盖了从总则到具体操作、计算及推定的全过程。</w:t>
      </w:r>
    </w:p>
    <w:p w14:paraId="7B10CF0E">
      <w:pPr>
        <w:ind w:firstLine="482"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b/>
          <w:bCs/>
          <w:color w:val="000000" w:themeColor="text1"/>
          <w:sz w:val="24"/>
          <w:szCs w:val="24"/>
          <w:lang w:val="en-US" w:eastAsia="zh-CN"/>
          <w14:textFill>
            <w14:solidFill>
              <w14:schemeClr w14:val="tx1"/>
            </w14:solidFill>
          </w14:textFill>
        </w:rPr>
        <w:t>1.</w:t>
      </w:r>
      <w:r>
        <w:rPr>
          <w:rFonts w:hint="eastAsia" w:ascii="宋体" w:hAnsi="宋体" w:eastAsia="宋体" w:cs="Times New Roman"/>
          <w:b/>
          <w:bCs/>
          <w:color w:val="000000" w:themeColor="text1"/>
          <w:sz w:val="24"/>
          <w:szCs w:val="24"/>
          <w14:textFill>
            <w14:solidFill>
              <w14:schemeClr w14:val="tx1"/>
            </w14:solidFill>
          </w14:textFill>
        </w:rPr>
        <w:t>范围：</w:t>
      </w:r>
      <w:r>
        <w:rPr>
          <w:rFonts w:hint="eastAsia" w:ascii="宋体" w:hAnsi="宋体" w:eastAsia="宋体" w:cs="Times New Roman"/>
          <w:color w:val="000000" w:themeColor="text1"/>
          <w:sz w:val="24"/>
          <w:szCs w:val="24"/>
          <w14:textFill>
            <w14:solidFill>
              <w14:schemeClr w14:val="tx1"/>
            </w14:solidFill>
          </w14:textFill>
        </w:rPr>
        <w:t>明确了标准的适用对象，即采用微创钻芯法检测混凝土构件抗压强度的各类工程。</w:t>
      </w:r>
    </w:p>
    <w:p w14:paraId="4E1AC219">
      <w:pPr>
        <w:ind w:firstLine="482"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b/>
          <w:bCs/>
          <w:color w:val="000000" w:themeColor="text1"/>
          <w:sz w:val="24"/>
          <w:szCs w:val="24"/>
          <w:lang w:val="en-US" w:eastAsia="zh-CN"/>
          <w14:textFill>
            <w14:solidFill>
              <w14:schemeClr w14:val="tx1"/>
            </w14:solidFill>
          </w14:textFill>
        </w:rPr>
        <w:t>2.</w:t>
      </w:r>
      <w:r>
        <w:rPr>
          <w:rFonts w:hint="eastAsia" w:ascii="宋体" w:hAnsi="宋体" w:eastAsia="宋体" w:cs="Times New Roman"/>
          <w:b/>
          <w:bCs/>
          <w:color w:val="000000" w:themeColor="text1"/>
          <w:sz w:val="24"/>
          <w:szCs w:val="24"/>
          <w14:textFill>
            <w14:solidFill>
              <w14:schemeClr w14:val="tx1"/>
            </w14:solidFill>
          </w14:textFill>
        </w:rPr>
        <w:t>规范性引用文件：</w:t>
      </w:r>
      <w:r>
        <w:rPr>
          <w:rFonts w:hint="eastAsia" w:ascii="宋体" w:hAnsi="宋体" w:eastAsia="宋体" w:cs="Times New Roman"/>
          <w:color w:val="000000" w:themeColor="text1"/>
          <w:sz w:val="24"/>
          <w:szCs w:val="24"/>
          <w14:textFill>
            <w14:solidFill>
              <w14:schemeClr w14:val="tx1"/>
            </w14:solidFill>
          </w14:textFill>
        </w:rPr>
        <w:t>规定了标准中引用的其他文件，确保技术要求的协调统一。</w:t>
      </w:r>
    </w:p>
    <w:p w14:paraId="0AA5514F">
      <w:pPr>
        <w:ind w:firstLine="482"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b/>
          <w:bCs/>
          <w:color w:val="000000" w:themeColor="text1"/>
          <w:sz w:val="24"/>
          <w:szCs w:val="24"/>
          <w:lang w:val="en-US" w:eastAsia="zh-CN"/>
          <w14:textFill>
            <w14:solidFill>
              <w14:schemeClr w14:val="tx1"/>
            </w14:solidFill>
          </w14:textFill>
        </w:rPr>
        <w:t>3.</w:t>
      </w:r>
      <w:r>
        <w:rPr>
          <w:rFonts w:hint="eastAsia" w:ascii="宋体" w:hAnsi="宋体" w:eastAsia="宋体" w:cs="Times New Roman"/>
          <w:b/>
          <w:bCs/>
          <w:color w:val="000000" w:themeColor="text1"/>
          <w:sz w:val="24"/>
          <w:szCs w:val="24"/>
          <w14:textFill>
            <w14:solidFill>
              <w14:schemeClr w14:val="tx1"/>
            </w14:solidFill>
          </w14:textFill>
        </w:rPr>
        <w:t>术语和定义：</w:t>
      </w:r>
      <w:r>
        <w:rPr>
          <w:rFonts w:hint="eastAsia" w:ascii="宋体" w:hAnsi="宋体" w:eastAsia="宋体" w:cs="Times New Roman"/>
          <w:color w:val="000000" w:themeColor="text1"/>
          <w:sz w:val="24"/>
          <w:szCs w:val="24"/>
          <w14:textFill>
            <w14:solidFill>
              <w14:schemeClr w14:val="tx1"/>
            </w14:solidFill>
          </w14:textFill>
        </w:rPr>
        <w:t>对“微创钻芯法”、“试件抗压强度值”、“混凝土抗压强度推定值”等9个核心术语进行了准确定义，为标准的理解和执行奠定基础。</w:t>
      </w:r>
    </w:p>
    <w:p w14:paraId="6028DEB0">
      <w:pPr>
        <w:ind w:firstLine="482"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b/>
          <w:bCs/>
          <w:color w:val="000000" w:themeColor="text1"/>
          <w:sz w:val="24"/>
          <w:szCs w:val="24"/>
          <w:lang w:val="en-US" w:eastAsia="zh-CN"/>
          <w14:textFill>
            <w14:solidFill>
              <w14:schemeClr w14:val="tx1"/>
            </w14:solidFill>
          </w14:textFill>
        </w:rPr>
        <w:t>4.</w:t>
      </w:r>
      <w:r>
        <w:rPr>
          <w:rFonts w:hint="eastAsia" w:ascii="宋体" w:hAnsi="宋体" w:eastAsia="宋体" w:cs="Times New Roman"/>
          <w:b/>
          <w:bCs/>
          <w:color w:val="000000" w:themeColor="text1"/>
          <w:sz w:val="24"/>
          <w:szCs w:val="24"/>
          <w14:textFill>
            <w14:solidFill>
              <w14:schemeClr w14:val="tx1"/>
            </w14:solidFill>
          </w14:textFill>
        </w:rPr>
        <w:t>技术要求：</w:t>
      </w:r>
      <w:r>
        <w:rPr>
          <w:rFonts w:hint="eastAsia" w:ascii="宋体" w:hAnsi="宋体" w:eastAsia="宋体" w:cs="Times New Roman"/>
          <w:color w:val="000000" w:themeColor="text1"/>
          <w:sz w:val="24"/>
          <w:szCs w:val="24"/>
          <w14:textFill>
            <w14:solidFill>
              <w14:schemeClr w14:val="tx1"/>
            </w14:solidFill>
          </w14:textFill>
        </w:rPr>
        <w:t>涵盖了检测设备（第3章）、芯样钻取（第4章）、试件加工（第5章）的具体要求，明确了设备性能、钻取位置、试件尺寸偏差及外观质量等关键指标。</w:t>
      </w:r>
    </w:p>
    <w:p w14:paraId="02F69F78">
      <w:pPr>
        <w:ind w:firstLine="482"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b/>
          <w:bCs/>
          <w:color w:val="000000" w:themeColor="text1"/>
          <w:sz w:val="24"/>
          <w:szCs w:val="24"/>
          <w:lang w:val="en-US" w:eastAsia="zh-CN"/>
          <w14:textFill>
            <w14:solidFill>
              <w14:schemeClr w14:val="tx1"/>
            </w14:solidFill>
          </w14:textFill>
        </w:rPr>
        <w:t>5.</w:t>
      </w:r>
      <w:r>
        <w:rPr>
          <w:rFonts w:hint="eastAsia" w:ascii="宋体" w:hAnsi="宋体" w:eastAsia="宋体" w:cs="Times New Roman"/>
          <w:b/>
          <w:bCs/>
          <w:color w:val="000000" w:themeColor="text1"/>
          <w:sz w:val="24"/>
          <w:szCs w:val="24"/>
          <w14:textFill>
            <w14:solidFill>
              <w14:schemeClr w14:val="tx1"/>
            </w14:solidFill>
          </w14:textFill>
        </w:rPr>
        <w:t>试验方法：</w:t>
      </w:r>
      <w:r>
        <w:rPr>
          <w:rFonts w:hint="eastAsia" w:ascii="宋体" w:hAnsi="宋体" w:eastAsia="宋体" w:cs="Times New Roman"/>
          <w:color w:val="000000" w:themeColor="text1"/>
          <w:sz w:val="24"/>
          <w:szCs w:val="24"/>
          <w14:textFill>
            <w14:solidFill>
              <w14:schemeClr w14:val="tx1"/>
            </w14:solidFill>
          </w14:textFill>
        </w:rPr>
        <w:t>详细规定了试件抗压强度计算（第6章）和混凝土强度推定（第7章）的方法，包括压力试验机要求、加荷速度、计算公式及推定区间的确定方法。</w:t>
      </w:r>
    </w:p>
    <w:p w14:paraId="62F7AABF">
      <w:pPr>
        <w:ind w:firstLine="482"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b/>
          <w:bCs/>
          <w:color w:val="000000" w:themeColor="text1"/>
          <w:sz w:val="24"/>
          <w:szCs w:val="24"/>
          <w:lang w:val="en-US" w:eastAsia="zh-CN"/>
          <w14:textFill>
            <w14:solidFill>
              <w14:schemeClr w14:val="tx1"/>
            </w14:solidFill>
          </w14:textFill>
        </w:rPr>
        <w:t>6.</w:t>
      </w:r>
      <w:r>
        <w:rPr>
          <w:rFonts w:hint="eastAsia" w:ascii="宋体" w:hAnsi="宋体" w:eastAsia="宋体" w:cs="Times New Roman"/>
          <w:b/>
          <w:bCs/>
          <w:color w:val="000000" w:themeColor="text1"/>
          <w:sz w:val="24"/>
          <w:szCs w:val="24"/>
          <w14:textFill>
            <w14:solidFill>
              <w14:schemeClr w14:val="tx1"/>
            </w14:solidFill>
          </w14:textFill>
        </w:rPr>
        <w:t>检验规则：</w:t>
      </w:r>
      <w:r>
        <w:rPr>
          <w:rFonts w:hint="eastAsia" w:ascii="宋体" w:hAnsi="宋体" w:eastAsia="宋体" w:cs="Times New Roman"/>
          <w:color w:val="000000" w:themeColor="text1"/>
          <w:sz w:val="24"/>
          <w:szCs w:val="24"/>
          <w14:textFill>
            <w14:solidFill>
              <w14:schemeClr w14:val="tx1"/>
            </w14:solidFill>
          </w14:textFill>
        </w:rPr>
        <w:t>规定了检测批的取样数量、随机抽取原则以及异常值的剔除规则。</w:t>
      </w:r>
    </w:p>
    <w:p w14:paraId="6603B0CF">
      <w:pPr>
        <w:ind w:firstLine="482" w:firstLineChars="200"/>
        <w:rPr>
          <w:rFonts w:hint="eastAsia" w:ascii="宋体" w:hAnsi="宋体" w:eastAsia="宋体" w:cs="Times New Roman"/>
          <w:b/>
          <w:bCs/>
          <w:color w:val="000000" w:themeColor="text1"/>
          <w:sz w:val="24"/>
          <w:szCs w:val="24"/>
          <w14:textFill>
            <w14:solidFill>
              <w14:schemeClr w14:val="tx1"/>
            </w14:solidFill>
          </w14:textFill>
        </w:rPr>
      </w:pPr>
      <w:r>
        <w:rPr>
          <w:rFonts w:hint="eastAsia" w:ascii="宋体" w:hAnsi="宋体" w:eastAsia="宋体" w:cs="Times New Roman"/>
          <w:b/>
          <w:bCs/>
          <w:color w:val="000000" w:themeColor="text1"/>
          <w:sz w:val="24"/>
          <w:szCs w:val="24"/>
          <w:lang w:val="en-US" w:eastAsia="zh-CN"/>
          <w14:textFill>
            <w14:solidFill>
              <w14:schemeClr w14:val="tx1"/>
            </w14:solidFill>
          </w14:textFill>
        </w:rPr>
        <w:t>7.</w:t>
      </w:r>
      <w:r>
        <w:rPr>
          <w:rFonts w:hint="eastAsia" w:ascii="宋体" w:hAnsi="宋体" w:eastAsia="宋体" w:cs="Times New Roman"/>
          <w:b/>
          <w:bCs/>
          <w:color w:val="000000" w:themeColor="text1"/>
          <w:sz w:val="24"/>
          <w:szCs w:val="24"/>
          <w14:textFill>
            <w14:solidFill>
              <w14:schemeClr w14:val="tx1"/>
            </w14:solidFill>
          </w14:textFill>
        </w:rPr>
        <w:t>附录：</w:t>
      </w:r>
    </w:p>
    <w:p w14:paraId="7263652D">
      <w:pPr>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附录A： 提供了20mm和36mm两种芯样的强度换算表，是连接实测值与推定值的关键工具。</w:t>
      </w:r>
    </w:p>
    <w:p w14:paraId="0409446C">
      <w:pPr>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附录B： 提供了推定区间系数表，用于计算强度推定的上下限值。</w:t>
      </w:r>
    </w:p>
    <w:p w14:paraId="7833057B">
      <w:pPr>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4.2.2 主要内容的确定（主要技术指标及其确定依据）</w:t>
      </w:r>
    </w:p>
    <w:p w14:paraId="022CAB0D">
      <w:pPr>
        <w:ind w:firstLine="482"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b/>
          <w:bCs/>
          <w:color w:val="000000" w:themeColor="text1"/>
          <w:sz w:val="24"/>
          <w:szCs w:val="24"/>
          <w14:textFill>
            <w14:solidFill>
              <w14:schemeClr w14:val="tx1"/>
            </w14:solidFill>
          </w14:textFill>
        </w:rPr>
        <w:t>微创芯样直径：</w:t>
      </w:r>
      <w:r>
        <w:rPr>
          <w:rFonts w:hint="eastAsia" w:ascii="宋体" w:hAnsi="宋体" w:eastAsia="宋体" w:cs="Times New Roman"/>
          <w:color w:val="000000" w:themeColor="text1"/>
          <w:sz w:val="24"/>
          <w:szCs w:val="24"/>
          <w14:textFill>
            <w14:solidFill>
              <w14:schemeClr w14:val="tx1"/>
            </w14:solidFill>
          </w14:textFill>
        </w:rPr>
        <w:t xml:space="preserve"> 标准确定采用20mm和36mm两种公称直径的芯样。</w:t>
      </w:r>
    </w:p>
    <w:p w14:paraId="52576A52">
      <w:pPr>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确定依据：这是在充分试验验证和工程实践基础上确定的。小直径芯样能最大限度地减少对结构构件的损伤，满足“微创”的核心要求，同时其尺寸又能保证加工成符合高径比（H/d=1:1）要求的试件，确保试验结果的可靠性。</w:t>
      </w:r>
    </w:p>
    <w:p w14:paraId="49CD06C5">
      <w:pPr>
        <w:ind w:firstLine="482"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b/>
          <w:bCs/>
          <w:color w:val="000000" w:themeColor="text1"/>
          <w:sz w:val="24"/>
          <w:szCs w:val="24"/>
          <w14:textFill>
            <w14:solidFill>
              <w14:schemeClr w14:val="tx1"/>
            </w14:solidFill>
          </w14:textFill>
        </w:rPr>
        <w:t>试件高径比（H/d）：</w:t>
      </w:r>
      <w:r>
        <w:rPr>
          <w:rFonts w:hint="eastAsia" w:ascii="宋体" w:hAnsi="宋体" w:eastAsia="宋体" w:cs="Times New Roman"/>
          <w:color w:val="000000" w:themeColor="text1"/>
          <w:sz w:val="24"/>
          <w:szCs w:val="24"/>
          <w14:textFill>
            <w14:solidFill>
              <w14:schemeClr w14:val="tx1"/>
            </w14:solidFill>
          </w14:textFill>
        </w:rPr>
        <w:t>明确规定抗压试件的高径比为1:1。</w:t>
      </w:r>
    </w:p>
    <w:p w14:paraId="010C462D">
      <w:pPr>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确定依据： 高径比是影响混凝土芯样抗压强度的关键因素。采用1:1的高径比是国内外相关标准的通用做法，便于试验结果的对比和换算。标准同时规定了尺寸偏差（如实际高径比应在0.98至1.02之间），以保证试验精度。</w:t>
      </w:r>
    </w:p>
    <w:p w14:paraId="1747D7D5">
      <w:pPr>
        <w:ind w:firstLine="482"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b/>
          <w:bCs/>
          <w:color w:val="000000" w:themeColor="text1"/>
          <w:sz w:val="24"/>
          <w:szCs w:val="24"/>
          <w14:textFill>
            <w14:solidFill>
              <w14:schemeClr w14:val="tx1"/>
            </w14:solidFill>
          </w14:textFill>
        </w:rPr>
        <w:t>加荷速度：</w:t>
      </w:r>
      <w:r>
        <w:rPr>
          <w:rFonts w:hint="eastAsia" w:ascii="宋体" w:hAnsi="宋体" w:eastAsia="宋体" w:cs="Times New Roman"/>
          <w:color w:val="000000" w:themeColor="text1"/>
          <w:sz w:val="24"/>
          <w:szCs w:val="24"/>
          <w14:textFill>
            <w14:solidFill>
              <w14:schemeClr w14:val="tx1"/>
            </w14:solidFill>
          </w14:textFill>
        </w:rPr>
        <w:t>规定试验过程中的加荷速度为0.4~0.5MPa/s。</w:t>
      </w:r>
    </w:p>
    <w:p w14:paraId="06E46BC9">
      <w:pPr>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确定依据：加荷速度直接影响混凝土的破坏荷载。该速度范围是经过大量试验验证得出的，能够确保试件在连续均匀的荷载下破坏，测得的强度值稳定且具有代表性。</w:t>
      </w:r>
    </w:p>
    <w:p w14:paraId="78507EE7">
      <w:pPr>
        <w:ind w:firstLine="482"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b/>
          <w:bCs/>
          <w:color w:val="000000" w:themeColor="text1"/>
          <w:sz w:val="24"/>
          <w:szCs w:val="24"/>
          <w14:textFill>
            <w14:solidFill>
              <w14:schemeClr w14:val="tx1"/>
            </w14:solidFill>
          </w14:textFill>
        </w:rPr>
        <w:t>检测批最小样本量：</w:t>
      </w:r>
      <w:r>
        <w:rPr>
          <w:rFonts w:hint="eastAsia" w:ascii="宋体" w:hAnsi="宋体" w:eastAsia="宋体" w:cs="Times New Roman"/>
          <w:color w:val="000000" w:themeColor="text1"/>
          <w:sz w:val="24"/>
          <w:szCs w:val="24"/>
          <w14:textFill>
            <w14:solidFill>
              <w14:schemeClr w14:val="tx1"/>
            </w14:solidFill>
          </w14:textFill>
        </w:rPr>
        <w:t>规定36mm直径芯样最小样本量不宜少于15个，20mm直径芯样不宜少于25个。</w:t>
      </w:r>
    </w:p>
    <w:p w14:paraId="64E867A2">
      <w:pPr>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确定依据：样本量大小直接关系到强度推定的置信度。由于20mm芯样尺寸更小，其强度离散性可能更大，因此需要更多的样本量来保证统计推定的可靠性。这一规定是基于统计学原理和试验数据分析确定的。</w:t>
      </w:r>
    </w:p>
    <w:p w14:paraId="50D222A9">
      <w:pPr>
        <w:ind w:firstLine="482"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b/>
          <w:bCs/>
          <w:color w:val="000000" w:themeColor="text1"/>
          <w:sz w:val="24"/>
          <w:szCs w:val="24"/>
          <w14:textFill>
            <w14:solidFill>
              <w14:schemeClr w14:val="tx1"/>
            </w14:solidFill>
          </w14:textFill>
        </w:rPr>
        <w:t>强度推定方法：</w:t>
      </w:r>
      <w:r>
        <w:rPr>
          <w:rFonts w:hint="eastAsia" w:ascii="宋体" w:hAnsi="宋体" w:eastAsia="宋体" w:cs="Times New Roman"/>
          <w:color w:val="000000" w:themeColor="text1"/>
          <w:sz w:val="24"/>
          <w:szCs w:val="24"/>
          <w14:textFill>
            <w14:solidFill>
              <w14:schemeClr w14:val="tx1"/>
            </w14:solidFill>
          </w14:textFill>
        </w:rPr>
        <w:t>采用计算推定区间的方法，并宜以推定区间的上限值（fcu,e1）作为检测批混凝土强度的推定值。</w:t>
      </w:r>
    </w:p>
    <w:p w14:paraId="7DAC6A47">
      <w:pPr>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确定依据：相比于单一的推定值，推定区间能更全面地反映混凝土强度的总体性能和离散程度。该方法参考了统计学原理，通过设定0.85的置信度，使推定结果更具科学性和工程指导意义。</w:t>
      </w:r>
    </w:p>
    <w:p w14:paraId="63AB3049">
      <w:pPr>
        <w:rPr>
          <w:rFonts w:hint="eastAsia" w:ascii="黑体" w:hAnsi="黑体" w:eastAsia="黑体" w:cs="Times New Roman"/>
          <w:color w:val="000000" w:themeColor="text1"/>
          <w:sz w:val="28"/>
          <w:szCs w:val="28"/>
          <w14:textFill>
            <w14:solidFill>
              <w14:schemeClr w14:val="tx1"/>
            </w14:solidFill>
          </w14:textFill>
        </w:rPr>
      </w:pPr>
      <w:r>
        <w:rPr>
          <w:rFonts w:hint="eastAsia" w:ascii="黑体" w:hAnsi="黑体" w:eastAsia="黑体" w:cs="Times New Roman"/>
          <w:color w:val="000000" w:themeColor="text1"/>
          <w:sz w:val="28"/>
          <w:szCs w:val="28"/>
          <w14:textFill>
            <w14:solidFill>
              <w14:schemeClr w14:val="tx1"/>
            </w14:solidFill>
          </w14:textFill>
        </w:rPr>
        <w:t>5 标准先进性体现</w:t>
      </w:r>
    </w:p>
    <w:p w14:paraId="06EFFA1A">
      <w:pPr>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本标准的先进性主要体现在“微创”理念和科学的推定方法上。</w:t>
      </w:r>
    </w:p>
    <w:p w14:paraId="276466DC">
      <w:pPr>
        <w:ind w:firstLine="482"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b/>
          <w:bCs/>
          <w:color w:val="000000" w:themeColor="text1"/>
          <w:sz w:val="24"/>
          <w:szCs w:val="24"/>
          <w14:textFill>
            <w14:solidFill>
              <w14:schemeClr w14:val="tx1"/>
            </w14:solidFill>
          </w14:textFill>
        </w:rPr>
        <w:t>微创性：</w:t>
      </w:r>
      <w:r>
        <w:rPr>
          <w:rFonts w:hint="eastAsia" w:ascii="宋体" w:hAnsi="宋体" w:eastAsia="宋体" w:cs="Times New Roman"/>
          <w:color w:val="000000" w:themeColor="text1"/>
          <w:sz w:val="24"/>
          <w:szCs w:val="24"/>
          <w14:textFill>
            <w14:solidFill>
              <w14:schemeClr w14:val="tx1"/>
            </w14:solidFill>
          </w14:textFill>
        </w:rPr>
        <w:t>与现行的钻芯法检测混凝土强度技术标准（如CECS 03）相比，本标准的核心优势在于采用直径仅为20mm和36mm的小芯样。传统钻芯法通常采用直径不小于75mm的芯样，对结构损伤较大。本标准的方法将钻孔截面积减少了约80%以上，极大地降低了对结构构件承载力和耐久性的影响，特别适用于对结构损伤有严格限制的场合，如历史建筑、重要承重构件的检测。</w:t>
      </w:r>
    </w:p>
    <w:p w14:paraId="7E551F25">
      <w:pPr>
        <w:ind w:firstLine="482"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b/>
          <w:bCs/>
          <w:color w:val="000000" w:themeColor="text1"/>
          <w:sz w:val="24"/>
          <w:szCs w:val="24"/>
          <w14:textFill>
            <w14:solidFill>
              <w14:schemeClr w14:val="tx1"/>
            </w14:solidFill>
          </w14:textFill>
        </w:rPr>
        <w:t>推定科学性：</w:t>
      </w:r>
      <w:r>
        <w:rPr>
          <w:rFonts w:hint="eastAsia" w:ascii="宋体" w:hAnsi="宋体" w:eastAsia="宋体" w:cs="Times New Roman"/>
          <w:color w:val="000000" w:themeColor="text1"/>
          <w:sz w:val="24"/>
          <w:szCs w:val="24"/>
          <w14:textFill>
            <w14:solidFill>
              <w14:schemeClr w14:val="tx1"/>
            </w14:solidFill>
          </w14:textFill>
        </w:rPr>
        <w:t>标准引入了基于统计学的推定区间概念，并提供了详细的计算公式和系数表（附录B）。这种方法不仅给出了强度的推定值，还能量化推定结果的置信度和区间范围，比传统的取平均值或最小值的方法更能科学地反映检测批混凝土的整体质量水平。</w:t>
      </w:r>
    </w:p>
    <w:p w14:paraId="67567C03">
      <w:pPr>
        <w:rPr>
          <w:rFonts w:hint="eastAsia" w:ascii="黑体" w:hAnsi="黑体" w:eastAsia="黑体" w:cs="Times New Roman"/>
          <w:color w:val="000000" w:themeColor="text1"/>
          <w:sz w:val="28"/>
          <w:szCs w:val="28"/>
          <w14:textFill>
            <w14:solidFill>
              <w14:schemeClr w14:val="tx1"/>
            </w14:solidFill>
          </w14:textFill>
        </w:rPr>
      </w:pPr>
      <w:r>
        <w:rPr>
          <w:rFonts w:hint="eastAsia" w:ascii="黑体" w:hAnsi="黑体" w:eastAsia="黑体" w:cs="Times New Roman"/>
          <w:color w:val="000000" w:themeColor="text1"/>
          <w:sz w:val="28"/>
          <w:szCs w:val="28"/>
          <w14:textFill>
            <w14:solidFill>
              <w14:schemeClr w14:val="tx1"/>
            </w14:solidFill>
          </w14:textFill>
        </w:rPr>
        <w:t>6 与现行相关法律、法规、规章及相关标准的协调性</w:t>
      </w:r>
    </w:p>
    <w:p w14:paraId="7BE07F97">
      <w:pPr>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6.1 目前国内执行的标准</w:t>
      </w:r>
    </w:p>
    <w:p w14:paraId="611923EB">
      <w:pPr>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目前国内与钻芯法检测混凝土强度相关的标准主要包括《钻芯法检测混凝土强度技术规程》（CECS 03）等。</w:t>
      </w:r>
    </w:p>
    <w:p w14:paraId="0021857A">
      <w:pPr>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6.2 标准协调性</w:t>
      </w:r>
    </w:p>
    <w:p w14:paraId="7F0FA475">
      <w:pPr>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本标准在编制过程中，严格遵守了《中华人民共和国标准化法》等国家法律法规。</w:t>
      </w:r>
    </w:p>
    <w:p w14:paraId="3877562B">
      <w:pPr>
        <w:ind w:firstLine="482"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b/>
          <w:bCs/>
          <w:color w:val="000000" w:themeColor="text1"/>
          <w:sz w:val="24"/>
          <w:szCs w:val="24"/>
          <w14:textFill>
            <w14:solidFill>
              <w14:schemeClr w14:val="tx1"/>
            </w14:solidFill>
          </w14:textFill>
        </w:rPr>
        <w:t>与强制性标准的协调：</w:t>
      </w:r>
      <w:r>
        <w:rPr>
          <w:rFonts w:hint="eastAsia" w:ascii="宋体" w:hAnsi="宋体" w:eastAsia="宋体" w:cs="Times New Roman"/>
          <w:color w:val="000000" w:themeColor="text1"/>
          <w:sz w:val="24"/>
          <w:szCs w:val="24"/>
          <w14:textFill>
            <w14:solidFill>
              <w14:schemeClr w14:val="tx1"/>
            </w14:solidFill>
          </w14:textFill>
        </w:rPr>
        <w:t>本标准作为团体标准，其所有技术要求均不低于现行国家、行业和地方的强制性标准。标准中引用的检测设备计量、安全生产和劳动保护等规定，均与相关强制性标准保持协调一致，不存在任何冲突。</w:t>
      </w:r>
    </w:p>
    <w:p w14:paraId="2C65DB2B">
      <w:pPr>
        <w:ind w:firstLine="482"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b/>
          <w:bCs/>
          <w:color w:val="000000" w:themeColor="text1"/>
          <w:sz w:val="24"/>
          <w:szCs w:val="24"/>
          <w14:textFill>
            <w14:solidFill>
              <w14:schemeClr w14:val="tx1"/>
            </w14:solidFill>
          </w14:textFill>
        </w:rPr>
        <w:t>与推荐性标准的协调：</w:t>
      </w:r>
      <w:r>
        <w:rPr>
          <w:rFonts w:hint="eastAsia" w:ascii="宋体" w:hAnsi="宋体" w:eastAsia="宋体" w:cs="Times New Roman"/>
          <w:color w:val="000000" w:themeColor="text1"/>
          <w:sz w:val="24"/>
          <w:szCs w:val="24"/>
          <w14:textFill>
            <w14:solidFill>
              <w14:schemeClr w14:val="tx1"/>
            </w14:solidFill>
          </w14:textFill>
        </w:rPr>
        <w:t>本标准是对现有钻芯法检测标准体系的有益补充和细化，特别是在微创检测领域。标准在术语定义、基本原则等方面与CECS 03等行业标准保持协调，但在具体技术指标（如芯样直径）上进行了创新和发展，满足了特定工程需求。</w:t>
      </w:r>
    </w:p>
    <w:p w14:paraId="5893206A">
      <w:pPr>
        <w:ind w:firstLine="482"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b/>
          <w:bCs/>
          <w:color w:val="000000" w:themeColor="text1"/>
          <w:sz w:val="24"/>
          <w:szCs w:val="24"/>
          <w14:textFill>
            <w14:solidFill>
              <w14:schemeClr w14:val="tx1"/>
            </w14:solidFill>
          </w14:textFill>
        </w:rPr>
        <w:t>规范性引用：</w:t>
      </w:r>
      <w:r>
        <w:rPr>
          <w:rFonts w:hint="eastAsia" w:ascii="宋体" w:hAnsi="宋体" w:eastAsia="宋体" w:cs="Times New Roman"/>
          <w:color w:val="000000" w:themeColor="text1"/>
          <w:sz w:val="24"/>
          <w:szCs w:val="24"/>
          <w14:textFill>
            <w14:solidFill>
              <w14:schemeClr w14:val="tx1"/>
            </w14:solidFill>
          </w14:textFill>
        </w:rPr>
        <w:t>标准在起草规则上引用了GB/T 1.1—2020，在数据处理上提及了GB/T 4883，确保了标准编制和数据处理方法的规范性。</w:t>
      </w:r>
    </w:p>
    <w:p w14:paraId="23C6790F">
      <w:pPr>
        <w:rPr>
          <w:rFonts w:hint="eastAsia" w:ascii="黑体" w:hAnsi="黑体" w:eastAsia="黑体" w:cs="Times New Roman"/>
          <w:color w:val="000000" w:themeColor="text1"/>
          <w:sz w:val="28"/>
          <w:szCs w:val="28"/>
          <w14:textFill>
            <w14:solidFill>
              <w14:schemeClr w14:val="tx1"/>
            </w14:solidFill>
          </w14:textFill>
        </w:rPr>
      </w:pPr>
      <w:r>
        <w:rPr>
          <w:rFonts w:hint="eastAsia" w:ascii="黑体" w:hAnsi="黑体" w:eastAsia="黑体" w:cs="Times New Roman"/>
          <w:color w:val="000000" w:themeColor="text1"/>
          <w:sz w:val="28"/>
          <w:szCs w:val="28"/>
          <w14:textFill>
            <w14:solidFill>
              <w14:schemeClr w14:val="tx1"/>
            </w14:solidFill>
          </w14:textFill>
        </w:rPr>
        <w:t>7 社会和经济效益</w:t>
      </w:r>
    </w:p>
    <w:p w14:paraId="254637C2">
      <w:pPr>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本标准的实施预计将产生显著的社会和经济效益：</w:t>
      </w:r>
    </w:p>
    <w:p w14:paraId="1E3B3009">
      <w:pPr>
        <w:ind w:firstLine="482"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b/>
          <w:bCs/>
          <w:color w:val="000000" w:themeColor="text1"/>
          <w:sz w:val="24"/>
          <w:szCs w:val="24"/>
          <w14:textFill>
            <w14:solidFill>
              <w14:schemeClr w14:val="tx1"/>
            </w14:solidFill>
          </w14:textFill>
        </w:rPr>
        <w:t>社会效益：</w:t>
      </w:r>
    </w:p>
    <w:p w14:paraId="18F6153C">
      <w:pPr>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保障结构安全：为既有建筑和重要工程提供了一种低损伤、高精度的强度检测手段，有助于及时发现结构安全隐患，保障人民生命财产安全。</w:t>
      </w:r>
    </w:p>
    <w:p w14:paraId="78AB285F">
      <w:pPr>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推动技术进步： 填补了微创钻芯检测领域的标准空白，推动了建筑工程检测技术的创新与发展。</w:t>
      </w:r>
    </w:p>
    <w:p w14:paraId="211252A7">
      <w:pPr>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规范检测市场：为微创钻芯检测提供了统一的技术依据，有助于规范检测市场行为，提升检测行业的整体水平。</w:t>
      </w:r>
    </w:p>
    <w:p w14:paraId="273BF6F1">
      <w:pPr>
        <w:ind w:firstLine="482"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b/>
          <w:bCs/>
          <w:color w:val="000000" w:themeColor="text1"/>
          <w:sz w:val="24"/>
          <w:szCs w:val="24"/>
          <w14:textFill>
            <w14:solidFill>
              <w14:schemeClr w14:val="tx1"/>
            </w14:solidFill>
          </w14:textFill>
        </w:rPr>
        <w:t>经济效益：</w:t>
      </w:r>
    </w:p>
    <w:p w14:paraId="5812AA18">
      <w:pPr>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降低修复成本：由于钻孔直径小，钻芯后的孔洞修补工作量和材料成本大幅降低。</w:t>
      </w:r>
    </w:p>
    <w:p w14:paraId="738457F5">
      <w:pPr>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减少结构加固费用：微创检测避免了对结构造成过大损伤，从而减少了因检测导致的额外结构加固费用。</w:t>
      </w:r>
    </w:p>
    <w:p w14:paraId="417FC08C">
      <w:pPr>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延长建筑寿命：通过精准的检测评估，可以为建筑的维修和加固提供科学依据，从而有效延长建筑的使用寿命，创造长期经济价值。</w:t>
      </w:r>
    </w:p>
    <w:p w14:paraId="112C4D4D">
      <w:pPr>
        <w:rPr>
          <w:rFonts w:hint="eastAsia" w:ascii="黑体" w:hAnsi="黑体" w:eastAsia="黑体" w:cs="Times New Roman"/>
          <w:color w:val="000000" w:themeColor="text1"/>
          <w:sz w:val="28"/>
          <w:szCs w:val="28"/>
          <w14:textFill>
            <w14:solidFill>
              <w14:schemeClr w14:val="tx1"/>
            </w14:solidFill>
          </w14:textFill>
        </w:rPr>
      </w:pPr>
      <w:r>
        <w:rPr>
          <w:rFonts w:hint="eastAsia" w:ascii="黑体" w:hAnsi="黑体" w:eastAsia="黑体" w:cs="Times New Roman"/>
          <w:color w:val="000000" w:themeColor="text1"/>
          <w:sz w:val="28"/>
          <w:szCs w:val="28"/>
          <w14:textFill>
            <w14:solidFill>
              <w14:schemeClr w14:val="tx1"/>
            </w14:solidFill>
          </w14:textFill>
        </w:rPr>
        <w:t>8 重大分歧意见的处理经过和依据</w:t>
      </w:r>
    </w:p>
    <w:p w14:paraId="7C502DAB">
      <w:pPr>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本标准在编制起草、征求意见或审查阶段</w:t>
      </w:r>
      <w:r>
        <w:rPr>
          <w:rFonts w:hint="eastAsia" w:ascii="宋体" w:hAnsi="宋体" w:eastAsia="宋体" w:cs="Times New Roman"/>
          <w:color w:val="000000" w:themeColor="text1"/>
          <w:sz w:val="24"/>
          <w:szCs w:val="24"/>
          <w:lang w:val="en-US" w:eastAsia="zh-CN"/>
          <w14:textFill>
            <w14:solidFill>
              <w14:schemeClr w14:val="tx1"/>
            </w14:solidFill>
          </w14:textFill>
        </w:rPr>
        <w:t>未</w:t>
      </w:r>
      <w:r>
        <w:rPr>
          <w:rFonts w:hint="eastAsia" w:ascii="宋体" w:hAnsi="宋体" w:eastAsia="宋体" w:cs="Times New Roman"/>
          <w:color w:val="000000" w:themeColor="text1"/>
          <w:sz w:val="24"/>
          <w:szCs w:val="24"/>
          <w14:textFill>
            <w14:solidFill>
              <w14:schemeClr w14:val="tx1"/>
            </w14:solidFill>
          </w14:textFill>
        </w:rPr>
        <w:t>出现对标准技术内容有实质性影响的重大分歧意见。标准的编制过程经过了广泛调查研究、认真总结实践经验、参考有关标准并在广泛征求意见的基础上，经多次讨论和修改，最终经审查定稿。</w:t>
      </w:r>
    </w:p>
    <w:p w14:paraId="30F49BEE">
      <w:pPr>
        <w:rPr>
          <w:rFonts w:hint="eastAsia" w:ascii="黑体" w:hAnsi="黑体" w:eastAsia="黑体" w:cs="Times New Roman"/>
          <w:color w:val="000000" w:themeColor="text1"/>
          <w:sz w:val="28"/>
          <w:szCs w:val="28"/>
          <w14:textFill>
            <w14:solidFill>
              <w14:schemeClr w14:val="tx1"/>
            </w14:solidFill>
          </w14:textFill>
        </w:rPr>
      </w:pPr>
      <w:r>
        <w:rPr>
          <w:rFonts w:hint="eastAsia" w:ascii="黑体" w:hAnsi="黑体" w:eastAsia="黑体" w:cs="Times New Roman"/>
          <w:color w:val="000000" w:themeColor="text1"/>
          <w:sz w:val="28"/>
          <w:szCs w:val="28"/>
          <w14:textFill>
            <w14:solidFill>
              <w14:schemeClr w14:val="tx1"/>
            </w14:solidFill>
          </w14:textFill>
        </w:rPr>
        <w:t>9 贯彻标准的要求和措施建议</w:t>
      </w:r>
    </w:p>
    <w:p w14:paraId="2A7E819B">
      <w:pPr>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为确保本标准的有效实施，提出以下建议：</w:t>
      </w:r>
    </w:p>
    <w:p w14:paraId="5D9A06D0">
      <w:pPr>
        <w:ind w:firstLine="482"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b/>
          <w:bCs/>
          <w:color w:val="000000" w:themeColor="text1"/>
          <w:sz w:val="24"/>
          <w:szCs w:val="24"/>
          <w14:textFill>
            <w14:solidFill>
              <w14:schemeClr w14:val="tx1"/>
            </w14:solidFill>
          </w14:textFill>
        </w:rPr>
        <w:t>宣贯与培训：</w:t>
      </w:r>
      <w:r>
        <w:rPr>
          <w:rFonts w:hint="eastAsia" w:ascii="宋体" w:hAnsi="宋体" w:eastAsia="宋体" w:cs="Times New Roman"/>
          <w:color w:val="000000" w:themeColor="text1"/>
          <w:sz w:val="24"/>
          <w:szCs w:val="24"/>
          <w14:textFill>
            <w14:solidFill>
              <w14:schemeClr w14:val="tx1"/>
            </w14:solidFill>
          </w14:textFill>
        </w:rPr>
        <w:t>标准发布后，建议由江苏省质量协会或起草单位（江苏方建质量鉴定检测有限公司）牵头，组织面向检测机构、施工单位、监理单位和设计单位的宣贯培训会，详细解读标准条款和技术要点。</w:t>
      </w:r>
    </w:p>
    <w:p w14:paraId="206F1470">
      <w:pPr>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检测能力建设：各相关检测机构应根据标准要求，配备符合规定的微创钻芯机、锯切机、压力试验机等设备，并对计量器具进行检定或校准。</w:t>
      </w:r>
    </w:p>
    <w:p w14:paraId="79511B7F">
      <w:pPr>
        <w:ind w:firstLine="482"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b/>
          <w:bCs/>
          <w:color w:val="000000" w:themeColor="text1"/>
          <w:sz w:val="24"/>
          <w:szCs w:val="24"/>
          <w14:textFill>
            <w14:solidFill>
              <w14:schemeClr w14:val="tx1"/>
            </w14:solidFill>
          </w14:textFill>
        </w:rPr>
        <w:t>人员培训：</w:t>
      </w:r>
      <w:r>
        <w:rPr>
          <w:rFonts w:hint="eastAsia" w:ascii="宋体" w:hAnsi="宋体" w:eastAsia="宋体" w:cs="Times New Roman"/>
          <w:color w:val="000000" w:themeColor="text1"/>
          <w:sz w:val="24"/>
          <w:szCs w:val="24"/>
          <w14:textFill>
            <w14:solidFill>
              <w14:schemeClr w14:val="tx1"/>
            </w14:solidFill>
          </w14:textFill>
        </w:rPr>
        <w:t>从事微创钻芯检测的技术人员应进行专业培训，熟练掌握芯样钻取、加工、试验及数据处理的全过程操作技能，确保检测结果的准确性。</w:t>
      </w:r>
    </w:p>
    <w:p w14:paraId="106475A1">
      <w:pPr>
        <w:ind w:firstLine="482"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b/>
          <w:bCs/>
          <w:color w:val="000000" w:themeColor="text1"/>
          <w:sz w:val="24"/>
          <w:szCs w:val="24"/>
          <w14:textFill>
            <w14:solidFill>
              <w14:schemeClr w14:val="tx1"/>
            </w14:solidFill>
          </w14:textFill>
        </w:rPr>
        <w:t>试点应用：</w:t>
      </w:r>
      <w:r>
        <w:rPr>
          <w:rFonts w:hint="eastAsia" w:ascii="宋体" w:hAnsi="宋体" w:eastAsia="宋体" w:cs="Times New Roman"/>
          <w:color w:val="000000" w:themeColor="text1"/>
          <w:sz w:val="24"/>
          <w:szCs w:val="24"/>
          <w14:textFill>
            <w14:solidFill>
              <w14:schemeClr w14:val="tx1"/>
            </w14:solidFill>
          </w14:textFill>
        </w:rPr>
        <w:t>建议在典型工程中先行试点应用，积累工程经验，验证标准的适用性和可操作性，并根据反馈情况适时对标准进行完善。</w:t>
      </w:r>
    </w:p>
    <w:p w14:paraId="5B627BEB">
      <w:pPr>
        <w:rPr>
          <w:rFonts w:hint="eastAsia" w:ascii="黑体" w:hAnsi="黑体" w:eastAsia="黑体" w:cs="Times New Roman"/>
          <w:color w:val="000000" w:themeColor="text1"/>
          <w:sz w:val="28"/>
          <w:szCs w:val="28"/>
          <w14:textFill>
            <w14:solidFill>
              <w14:schemeClr w14:val="tx1"/>
            </w14:solidFill>
          </w14:textFill>
        </w:rPr>
      </w:pPr>
      <w:r>
        <w:rPr>
          <w:rFonts w:hint="eastAsia" w:ascii="黑体" w:hAnsi="黑体" w:eastAsia="黑体" w:cs="Times New Roman"/>
          <w:color w:val="000000" w:themeColor="text1"/>
          <w:sz w:val="28"/>
          <w:szCs w:val="28"/>
          <w14:textFill>
            <w14:solidFill>
              <w14:schemeClr w14:val="tx1"/>
            </w14:solidFill>
          </w14:textFill>
        </w:rPr>
        <w:t>10 其他应予说明的事项</w:t>
      </w:r>
    </w:p>
    <w:p w14:paraId="420E85F2">
      <w:pPr>
        <w:rPr>
          <w:rFonts w:hint="eastAsia" w:ascii="宋体" w:hAnsi="宋体" w:eastAsia="宋体" w:cs="Times New Roman"/>
          <w:color w:val="000000" w:themeColor="text1"/>
          <w:sz w:val="24"/>
          <w:szCs w:val="24"/>
          <w14:textFill>
            <w14:solidFill>
              <w14:schemeClr w14:val="tx1"/>
            </w14:solidFill>
          </w14:textFill>
        </w:rPr>
      </w:pPr>
    </w:p>
    <w:p w14:paraId="2581F4BD">
      <w:pPr>
        <w:rPr>
          <w:rFonts w:hint="eastAsia" w:ascii="宋体" w:hAnsi="宋体" w:eastAsia="宋体" w:cs="Times New Roman"/>
          <w:sz w:val="18"/>
          <w:szCs w:val="18"/>
        </w:rPr>
      </w:pPr>
      <w:r>
        <w:rPr>
          <w:rFonts w:hint="eastAsia" w:ascii="宋体" w:hAnsi="宋体" w:eastAsia="宋体" w:cs="Times New Roman"/>
          <w:sz w:val="18"/>
          <w:szCs w:val="18"/>
        </w:rPr>
        <w:t>（提示：标准制定过程中遇到的特殊问题及其处理方式</w:t>
      </w:r>
    </w:p>
    <w:p w14:paraId="01B05F61">
      <w:pPr>
        <w:ind w:firstLine="360" w:firstLineChars="200"/>
        <w:rPr>
          <w:rFonts w:hint="eastAsia" w:ascii="宋体" w:hAnsi="宋体" w:eastAsia="宋体" w:cs="Times New Roman"/>
          <w:sz w:val="18"/>
          <w:szCs w:val="18"/>
        </w:rPr>
      </w:pPr>
      <w:r>
        <w:rPr>
          <w:rFonts w:hint="eastAsia" w:ascii="宋体" w:hAnsi="宋体" w:eastAsia="宋体" w:cs="Times New Roman"/>
          <w:sz w:val="18"/>
          <w:szCs w:val="18"/>
        </w:rPr>
        <w:t>需要特别说明或澄清的事项（如特定条款的理解、附录的作用等）</w:t>
      </w:r>
    </w:p>
    <w:p w14:paraId="48A8A39F">
      <w:pPr>
        <w:ind w:firstLine="360" w:firstLineChars="200"/>
        <w:rPr>
          <w:rFonts w:hint="eastAsia" w:ascii="宋体" w:hAnsi="宋体" w:eastAsia="宋体" w:cs="Times New Roman"/>
          <w:i/>
          <w:sz w:val="18"/>
          <w:szCs w:val="18"/>
        </w:rPr>
      </w:pPr>
      <w:r>
        <w:rPr>
          <w:rFonts w:hint="eastAsia" w:ascii="宋体" w:hAnsi="宋体" w:eastAsia="宋体" w:cs="Times New Roman"/>
          <w:sz w:val="18"/>
          <w:szCs w:val="18"/>
        </w:rPr>
        <w:t>说明编制说明的附件清单（通常包括：征求意见汇总处理表、会议纪要、试验验证报告、采标原文及译文、专利信息披露表等关键支撑材料）</w:t>
      </w:r>
      <w:r>
        <w:rPr>
          <w:rFonts w:hint="eastAsia" w:ascii="宋体" w:hAnsi="宋体" w:eastAsia="宋体" w:cs="Times New Roman"/>
          <w:i/>
          <w:sz w:val="18"/>
          <w:szCs w:val="18"/>
        </w:rPr>
        <w:t>）</w:t>
      </w:r>
    </w:p>
    <w:sectPr>
      <w:footerReference r:id="rId3" w:type="default"/>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2000000000000000000"/>
    <w:charset w:val="86"/>
    <w:family w:val="auto"/>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4183405"/>
    </w:sdtPr>
    <w:sdtContent>
      <w:p w14:paraId="03A4C8FB">
        <w:pPr>
          <w:pStyle w:val="3"/>
          <w:jc w:val="center"/>
        </w:pPr>
        <w:r>
          <w:fldChar w:fldCharType="begin"/>
        </w:r>
        <w:r>
          <w:instrText xml:space="preserve">PAGE   \* MERGEFORMAT</w:instrText>
        </w:r>
        <w:r>
          <w:fldChar w:fldCharType="separate"/>
        </w:r>
        <w:r>
          <w:rPr>
            <w:lang w:val="zh-CN"/>
          </w:rPr>
          <w:t>10</w:t>
        </w:r>
        <w:r>
          <w:fldChar w:fldCharType="end"/>
        </w:r>
      </w:p>
    </w:sdtContent>
  </w:sdt>
  <w:p w14:paraId="63BF0240">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pStyle w:val="24"/>
      <w:suff w:val="nothing"/>
      <w:lvlText w:val="%1"/>
      <w:lvlJc w:val="left"/>
      <w:pPr>
        <w:ind w:left="0" w:firstLine="0"/>
      </w:pPr>
      <w:rPr>
        <w:rFonts w:hint="eastAsia"/>
      </w:rPr>
    </w:lvl>
    <w:lvl w:ilvl="1" w:tentative="0">
      <w:start w:val="1"/>
      <w:numFmt w:val="decimal"/>
      <w:pStyle w:val="22"/>
      <w:suff w:val="nothing"/>
      <w:lvlText w:val="%1%2　"/>
      <w:lvlJc w:val="left"/>
      <w:pPr>
        <w:ind w:left="0" w:firstLine="0"/>
      </w:pPr>
      <w:rPr>
        <w:rFonts w:hint="eastAsia" w:ascii="黑体" w:eastAsia="黑体"/>
        <w:b w:val="0"/>
        <w:i w:val="0"/>
        <w:sz w:val="21"/>
      </w:rPr>
    </w:lvl>
    <w:lvl w:ilvl="2" w:tentative="0">
      <w:start w:val="1"/>
      <w:numFmt w:val="decimal"/>
      <w:pStyle w:val="23"/>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8"/>
      <w:suff w:val="nothing"/>
      <w:lvlText w:val="%1%2.%3.%4　"/>
      <w:lvlJc w:val="left"/>
      <w:pPr>
        <w:ind w:left="0" w:firstLine="0"/>
      </w:pPr>
      <w:rPr>
        <w:rFonts w:hint="eastAsia" w:ascii="黑体" w:eastAsia="黑体"/>
        <w:b w:val="0"/>
        <w:i w:val="0"/>
        <w:sz w:val="21"/>
      </w:rPr>
    </w:lvl>
    <w:lvl w:ilvl="4" w:tentative="0">
      <w:start w:val="1"/>
      <w:numFmt w:val="decimal"/>
      <w:pStyle w:val="19"/>
      <w:suff w:val="nothing"/>
      <w:lvlText w:val="%1%2.%3.%4.%5　"/>
      <w:lvlJc w:val="left"/>
      <w:pPr>
        <w:ind w:left="142" w:firstLine="0"/>
      </w:pPr>
      <w:rPr>
        <w:rFonts w:hint="eastAsia" w:ascii="黑体" w:eastAsia="黑体"/>
        <w:b w:val="0"/>
        <w:i w:val="0"/>
        <w:sz w:val="21"/>
      </w:rPr>
    </w:lvl>
    <w:lvl w:ilvl="5" w:tentative="0">
      <w:start w:val="1"/>
      <w:numFmt w:val="decimal"/>
      <w:pStyle w:val="20"/>
      <w:suff w:val="nothing"/>
      <w:lvlText w:val="%1%2.%3.%4.%5.%6　"/>
      <w:lvlJc w:val="left"/>
      <w:pPr>
        <w:ind w:left="0" w:firstLine="0"/>
      </w:pPr>
      <w:rPr>
        <w:rFonts w:hint="eastAsia" w:ascii="黑体" w:eastAsia="黑体"/>
        <w:b w:val="0"/>
        <w:i w:val="0"/>
        <w:sz w:val="21"/>
      </w:rPr>
    </w:lvl>
    <w:lvl w:ilvl="6" w:tentative="0">
      <w:start w:val="1"/>
      <w:numFmt w:val="decimal"/>
      <w:pStyle w:val="21"/>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6"/>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DF1"/>
    <w:rsid w:val="0000311C"/>
    <w:rsid w:val="00025D34"/>
    <w:rsid w:val="00034007"/>
    <w:rsid w:val="000456EC"/>
    <w:rsid w:val="000637B9"/>
    <w:rsid w:val="00065A63"/>
    <w:rsid w:val="000666A7"/>
    <w:rsid w:val="00072172"/>
    <w:rsid w:val="00072BB4"/>
    <w:rsid w:val="0008244F"/>
    <w:rsid w:val="0008597C"/>
    <w:rsid w:val="000925C3"/>
    <w:rsid w:val="000A0CC7"/>
    <w:rsid w:val="000A20E7"/>
    <w:rsid w:val="000B037F"/>
    <w:rsid w:val="000C5D84"/>
    <w:rsid w:val="000E282B"/>
    <w:rsid w:val="000E3A02"/>
    <w:rsid w:val="000E452F"/>
    <w:rsid w:val="000F6ACF"/>
    <w:rsid w:val="0011551A"/>
    <w:rsid w:val="001216D1"/>
    <w:rsid w:val="001367F8"/>
    <w:rsid w:val="00140556"/>
    <w:rsid w:val="00144563"/>
    <w:rsid w:val="001451F4"/>
    <w:rsid w:val="00153121"/>
    <w:rsid w:val="00156CF9"/>
    <w:rsid w:val="00157572"/>
    <w:rsid w:val="001651BC"/>
    <w:rsid w:val="001774BD"/>
    <w:rsid w:val="001806B8"/>
    <w:rsid w:val="001822A9"/>
    <w:rsid w:val="00195DE7"/>
    <w:rsid w:val="001A4B11"/>
    <w:rsid w:val="001B33EC"/>
    <w:rsid w:val="001B710B"/>
    <w:rsid w:val="001C00D4"/>
    <w:rsid w:val="001C0263"/>
    <w:rsid w:val="001C3861"/>
    <w:rsid w:val="001D63DF"/>
    <w:rsid w:val="001E4E0F"/>
    <w:rsid w:val="001F50C8"/>
    <w:rsid w:val="002022F3"/>
    <w:rsid w:val="00206A0C"/>
    <w:rsid w:val="002102AB"/>
    <w:rsid w:val="00213286"/>
    <w:rsid w:val="00221B26"/>
    <w:rsid w:val="0023372D"/>
    <w:rsid w:val="00234066"/>
    <w:rsid w:val="00240E71"/>
    <w:rsid w:val="00251D6E"/>
    <w:rsid w:val="00255582"/>
    <w:rsid w:val="0026699D"/>
    <w:rsid w:val="0027605B"/>
    <w:rsid w:val="0027694B"/>
    <w:rsid w:val="0027783A"/>
    <w:rsid w:val="002778B2"/>
    <w:rsid w:val="00280226"/>
    <w:rsid w:val="002841AB"/>
    <w:rsid w:val="0028504D"/>
    <w:rsid w:val="002A6B83"/>
    <w:rsid w:val="002C64DD"/>
    <w:rsid w:val="002D1288"/>
    <w:rsid w:val="002D2E51"/>
    <w:rsid w:val="002D4253"/>
    <w:rsid w:val="002D47D8"/>
    <w:rsid w:val="002E176E"/>
    <w:rsid w:val="002E1A1F"/>
    <w:rsid w:val="002E4372"/>
    <w:rsid w:val="002E4DF1"/>
    <w:rsid w:val="002E6A55"/>
    <w:rsid w:val="002F68AF"/>
    <w:rsid w:val="002F7A31"/>
    <w:rsid w:val="003004E1"/>
    <w:rsid w:val="00306644"/>
    <w:rsid w:val="00310337"/>
    <w:rsid w:val="003103C9"/>
    <w:rsid w:val="0032377F"/>
    <w:rsid w:val="003266F4"/>
    <w:rsid w:val="0033348A"/>
    <w:rsid w:val="0034329C"/>
    <w:rsid w:val="003456BB"/>
    <w:rsid w:val="003639EC"/>
    <w:rsid w:val="00367E07"/>
    <w:rsid w:val="00381A58"/>
    <w:rsid w:val="00384D48"/>
    <w:rsid w:val="003E26A7"/>
    <w:rsid w:val="003E4586"/>
    <w:rsid w:val="003F30FC"/>
    <w:rsid w:val="00402B84"/>
    <w:rsid w:val="00403B7D"/>
    <w:rsid w:val="00411BF5"/>
    <w:rsid w:val="00417F13"/>
    <w:rsid w:val="00426196"/>
    <w:rsid w:val="00430AE8"/>
    <w:rsid w:val="00433026"/>
    <w:rsid w:val="0045015C"/>
    <w:rsid w:val="00452965"/>
    <w:rsid w:val="00457432"/>
    <w:rsid w:val="00461953"/>
    <w:rsid w:val="004652AA"/>
    <w:rsid w:val="00471263"/>
    <w:rsid w:val="00473112"/>
    <w:rsid w:val="00475250"/>
    <w:rsid w:val="00476CA9"/>
    <w:rsid w:val="004834C0"/>
    <w:rsid w:val="004B0E69"/>
    <w:rsid w:val="004B770B"/>
    <w:rsid w:val="004B7829"/>
    <w:rsid w:val="004C7709"/>
    <w:rsid w:val="004D3CBC"/>
    <w:rsid w:val="004F14D9"/>
    <w:rsid w:val="004F2549"/>
    <w:rsid w:val="004F284E"/>
    <w:rsid w:val="004F79E2"/>
    <w:rsid w:val="00511E21"/>
    <w:rsid w:val="00537A58"/>
    <w:rsid w:val="00551049"/>
    <w:rsid w:val="005722C4"/>
    <w:rsid w:val="00573044"/>
    <w:rsid w:val="00592D64"/>
    <w:rsid w:val="005B0943"/>
    <w:rsid w:val="005B4C5D"/>
    <w:rsid w:val="005C325C"/>
    <w:rsid w:val="005C4CBE"/>
    <w:rsid w:val="005D07C6"/>
    <w:rsid w:val="005D5C85"/>
    <w:rsid w:val="005D7D43"/>
    <w:rsid w:val="005E08AB"/>
    <w:rsid w:val="005E5DE5"/>
    <w:rsid w:val="005E795C"/>
    <w:rsid w:val="005F6A13"/>
    <w:rsid w:val="00610262"/>
    <w:rsid w:val="0061308D"/>
    <w:rsid w:val="00615751"/>
    <w:rsid w:val="00624058"/>
    <w:rsid w:val="00626917"/>
    <w:rsid w:val="00637A98"/>
    <w:rsid w:val="00637EA6"/>
    <w:rsid w:val="006622EC"/>
    <w:rsid w:val="00666553"/>
    <w:rsid w:val="00666D8A"/>
    <w:rsid w:val="00671444"/>
    <w:rsid w:val="0067779D"/>
    <w:rsid w:val="00683B41"/>
    <w:rsid w:val="006844C8"/>
    <w:rsid w:val="006B603B"/>
    <w:rsid w:val="006C0E95"/>
    <w:rsid w:val="006C34AA"/>
    <w:rsid w:val="006C5462"/>
    <w:rsid w:val="006C7122"/>
    <w:rsid w:val="006E1538"/>
    <w:rsid w:val="006E16C3"/>
    <w:rsid w:val="006F1FAE"/>
    <w:rsid w:val="006F383D"/>
    <w:rsid w:val="00700FC6"/>
    <w:rsid w:val="00707F7A"/>
    <w:rsid w:val="007235EE"/>
    <w:rsid w:val="007450B6"/>
    <w:rsid w:val="00752D93"/>
    <w:rsid w:val="00752DDF"/>
    <w:rsid w:val="00755DEE"/>
    <w:rsid w:val="00775038"/>
    <w:rsid w:val="00793F2B"/>
    <w:rsid w:val="0079499C"/>
    <w:rsid w:val="007A4785"/>
    <w:rsid w:val="007E6AC0"/>
    <w:rsid w:val="007F02B5"/>
    <w:rsid w:val="007F0996"/>
    <w:rsid w:val="0080480F"/>
    <w:rsid w:val="008145D0"/>
    <w:rsid w:val="008166E1"/>
    <w:rsid w:val="00823257"/>
    <w:rsid w:val="0083740D"/>
    <w:rsid w:val="00840535"/>
    <w:rsid w:val="00842BD8"/>
    <w:rsid w:val="00853631"/>
    <w:rsid w:val="00867369"/>
    <w:rsid w:val="0087472F"/>
    <w:rsid w:val="00874E38"/>
    <w:rsid w:val="00886794"/>
    <w:rsid w:val="00887D84"/>
    <w:rsid w:val="008939D4"/>
    <w:rsid w:val="008A0E3F"/>
    <w:rsid w:val="008A2278"/>
    <w:rsid w:val="008A74A0"/>
    <w:rsid w:val="008C3C1E"/>
    <w:rsid w:val="008D07CC"/>
    <w:rsid w:val="008D730B"/>
    <w:rsid w:val="008E6524"/>
    <w:rsid w:val="008E71DB"/>
    <w:rsid w:val="008F3A45"/>
    <w:rsid w:val="00902589"/>
    <w:rsid w:val="00907677"/>
    <w:rsid w:val="00920286"/>
    <w:rsid w:val="00923FAF"/>
    <w:rsid w:val="00924B85"/>
    <w:rsid w:val="00926458"/>
    <w:rsid w:val="00936496"/>
    <w:rsid w:val="009376D1"/>
    <w:rsid w:val="0095010C"/>
    <w:rsid w:val="009534B8"/>
    <w:rsid w:val="00953BE8"/>
    <w:rsid w:val="009615AE"/>
    <w:rsid w:val="009642D5"/>
    <w:rsid w:val="00964AFF"/>
    <w:rsid w:val="00985C6E"/>
    <w:rsid w:val="00991E54"/>
    <w:rsid w:val="009A60A1"/>
    <w:rsid w:val="009B35A0"/>
    <w:rsid w:val="009C4F52"/>
    <w:rsid w:val="009E1DB2"/>
    <w:rsid w:val="009F1F5C"/>
    <w:rsid w:val="009F3EC8"/>
    <w:rsid w:val="009F5CDB"/>
    <w:rsid w:val="009F6B4A"/>
    <w:rsid w:val="00A25850"/>
    <w:rsid w:val="00A26323"/>
    <w:rsid w:val="00A31FE1"/>
    <w:rsid w:val="00A3721F"/>
    <w:rsid w:val="00A40D4D"/>
    <w:rsid w:val="00A4522F"/>
    <w:rsid w:val="00A7251B"/>
    <w:rsid w:val="00A7426E"/>
    <w:rsid w:val="00A930A0"/>
    <w:rsid w:val="00AB2D39"/>
    <w:rsid w:val="00AC6BB1"/>
    <w:rsid w:val="00AD1E68"/>
    <w:rsid w:val="00AD32F1"/>
    <w:rsid w:val="00AD5AB7"/>
    <w:rsid w:val="00AF5821"/>
    <w:rsid w:val="00B03612"/>
    <w:rsid w:val="00B131B0"/>
    <w:rsid w:val="00B1582A"/>
    <w:rsid w:val="00B161AB"/>
    <w:rsid w:val="00B24B57"/>
    <w:rsid w:val="00B30038"/>
    <w:rsid w:val="00B50EF5"/>
    <w:rsid w:val="00B740AA"/>
    <w:rsid w:val="00B87D6C"/>
    <w:rsid w:val="00BB0B73"/>
    <w:rsid w:val="00BB67B3"/>
    <w:rsid w:val="00BC0293"/>
    <w:rsid w:val="00BC5E60"/>
    <w:rsid w:val="00BC61ED"/>
    <w:rsid w:val="00BC654E"/>
    <w:rsid w:val="00C20987"/>
    <w:rsid w:val="00C27BF7"/>
    <w:rsid w:val="00C3153B"/>
    <w:rsid w:val="00C36F29"/>
    <w:rsid w:val="00C6432F"/>
    <w:rsid w:val="00C6709D"/>
    <w:rsid w:val="00C673BF"/>
    <w:rsid w:val="00C7369C"/>
    <w:rsid w:val="00C75E61"/>
    <w:rsid w:val="00C82029"/>
    <w:rsid w:val="00CA51E0"/>
    <w:rsid w:val="00CC628D"/>
    <w:rsid w:val="00CD11F9"/>
    <w:rsid w:val="00CE4101"/>
    <w:rsid w:val="00D046BD"/>
    <w:rsid w:val="00D04F6E"/>
    <w:rsid w:val="00D07989"/>
    <w:rsid w:val="00D10DD3"/>
    <w:rsid w:val="00D24AAB"/>
    <w:rsid w:val="00D3167F"/>
    <w:rsid w:val="00D4272F"/>
    <w:rsid w:val="00D45802"/>
    <w:rsid w:val="00D552C1"/>
    <w:rsid w:val="00D6614A"/>
    <w:rsid w:val="00D677DC"/>
    <w:rsid w:val="00D72D64"/>
    <w:rsid w:val="00D85F32"/>
    <w:rsid w:val="00DA7037"/>
    <w:rsid w:val="00DB3CF8"/>
    <w:rsid w:val="00DB56C5"/>
    <w:rsid w:val="00DD2F4E"/>
    <w:rsid w:val="00DE5993"/>
    <w:rsid w:val="00E0240B"/>
    <w:rsid w:val="00E106C2"/>
    <w:rsid w:val="00E162A1"/>
    <w:rsid w:val="00E1753E"/>
    <w:rsid w:val="00E257D9"/>
    <w:rsid w:val="00E33082"/>
    <w:rsid w:val="00E371A5"/>
    <w:rsid w:val="00E37C7C"/>
    <w:rsid w:val="00E457BE"/>
    <w:rsid w:val="00E8257F"/>
    <w:rsid w:val="00E905D9"/>
    <w:rsid w:val="00E95412"/>
    <w:rsid w:val="00E96712"/>
    <w:rsid w:val="00E9767F"/>
    <w:rsid w:val="00EA18C2"/>
    <w:rsid w:val="00EA2D4E"/>
    <w:rsid w:val="00EA3622"/>
    <w:rsid w:val="00EC64F6"/>
    <w:rsid w:val="00ED0EE4"/>
    <w:rsid w:val="00ED277C"/>
    <w:rsid w:val="00EE3C84"/>
    <w:rsid w:val="00EE7E21"/>
    <w:rsid w:val="00F064CE"/>
    <w:rsid w:val="00F31F81"/>
    <w:rsid w:val="00F44641"/>
    <w:rsid w:val="00F46208"/>
    <w:rsid w:val="00F46D0B"/>
    <w:rsid w:val="00F61537"/>
    <w:rsid w:val="00F62D47"/>
    <w:rsid w:val="00F765E7"/>
    <w:rsid w:val="00FA3D67"/>
    <w:rsid w:val="00FB0F75"/>
    <w:rsid w:val="00FB5F1A"/>
    <w:rsid w:val="00FB6919"/>
    <w:rsid w:val="00FE2CA0"/>
    <w:rsid w:val="07FE02E8"/>
    <w:rsid w:val="110B680B"/>
    <w:rsid w:val="1E2342C3"/>
    <w:rsid w:val="21556A61"/>
    <w:rsid w:val="22162FAC"/>
    <w:rsid w:val="2CC319AD"/>
    <w:rsid w:val="3BC35CE2"/>
    <w:rsid w:val="3FA14C01"/>
    <w:rsid w:val="451400B0"/>
    <w:rsid w:val="5F506D43"/>
    <w:rsid w:val="61F925CA"/>
    <w:rsid w:val="631065ED"/>
    <w:rsid w:val="6C0B7539"/>
    <w:rsid w:val="6C5B202A"/>
    <w:rsid w:val="6EA841A2"/>
    <w:rsid w:val="6F83245B"/>
    <w:rsid w:val="71996ED4"/>
    <w:rsid w:val="7CFC143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qFormat/>
    <w:uiPriority w:val="0"/>
    <w:pPr>
      <w:jc w:val="left"/>
    </w:pPr>
    <w:rPr>
      <w:szCs w:val="20"/>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jc w:val="left"/>
    </w:pPr>
    <w:rPr>
      <w:rFonts w:cs="Times New Roman"/>
      <w:kern w:val="0"/>
      <w:sz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llowedHyperlink"/>
    <w:basedOn w:val="8"/>
    <w:semiHidden/>
    <w:unhideWhenUsed/>
    <w:qFormat/>
    <w:uiPriority w:val="99"/>
    <w:rPr>
      <w:color w:val="333333"/>
      <w:u w:val="none"/>
    </w:rPr>
  </w:style>
  <w:style w:type="character" w:styleId="10">
    <w:name w:val="Hyperlink"/>
    <w:basedOn w:val="8"/>
    <w:semiHidden/>
    <w:unhideWhenUsed/>
    <w:qFormat/>
    <w:uiPriority w:val="99"/>
    <w:rPr>
      <w:color w:val="333333"/>
      <w:u w:val="none"/>
    </w:rPr>
  </w:style>
  <w:style w:type="paragraph" w:customStyle="1" w:styleId="11">
    <w:name w:val="段"/>
    <w:link w:val="1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2">
    <w:name w:val="段 Char"/>
    <w:basedOn w:val="8"/>
    <w:link w:val="11"/>
    <w:qFormat/>
    <w:uiPriority w:val="0"/>
    <w:rPr>
      <w:rFonts w:ascii="宋体" w:hAnsi="Times New Roman" w:eastAsia="宋体" w:cs="Times New Roman"/>
      <w:kern w:val="0"/>
      <w:szCs w:val="20"/>
    </w:rPr>
  </w:style>
  <w:style w:type="character" w:customStyle="1" w:styleId="13">
    <w:name w:val="页眉 字符"/>
    <w:basedOn w:val="8"/>
    <w:link w:val="4"/>
    <w:qFormat/>
    <w:uiPriority w:val="99"/>
    <w:rPr>
      <w:sz w:val="18"/>
      <w:szCs w:val="18"/>
    </w:rPr>
  </w:style>
  <w:style w:type="character" w:customStyle="1" w:styleId="14">
    <w:name w:val="页脚 字符"/>
    <w:basedOn w:val="8"/>
    <w:link w:val="3"/>
    <w:qFormat/>
    <w:uiPriority w:val="99"/>
    <w:rPr>
      <w:sz w:val="18"/>
      <w:szCs w:val="18"/>
    </w:rPr>
  </w:style>
  <w:style w:type="character" w:customStyle="1" w:styleId="15">
    <w:name w:val="批注文字 字符"/>
    <w:link w:val="2"/>
    <w:qFormat/>
    <w:uiPriority w:val="0"/>
    <w:rPr>
      <w:kern w:val="2"/>
      <w:sz w:val="21"/>
    </w:rPr>
  </w:style>
  <w:style w:type="character" w:customStyle="1" w:styleId="16">
    <w:name w:val="批注文字 Char"/>
    <w:basedOn w:val="8"/>
    <w:semiHidden/>
    <w:qFormat/>
    <w:uiPriority w:val="99"/>
    <w:rPr>
      <w:kern w:val="2"/>
      <w:sz w:val="21"/>
      <w:szCs w:val="22"/>
    </w:rPr>
  </w:style>
  <w:style w:type="paragraph" w:styleId="17">
    <w:name w:val="List Paragraph"/>
    <w:basedOn w:val="1"/>
    <w:qFormat/>
    <w:uiPriority w:val="99"/>
    <w:pPr>
      <w:ind w:firstLine="420" w:firstLineChars="200"/>
    </w:pPr>
  </w:style>
  <w:style w:type="paragraph" w:customStyle="1" w:styleId="18">
    <w:name w:val="标准文件_二级条标题"/>
    <w:next w:val="1"/>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9">
    <w:name w:val="标准文件_三级条标题"/>
    <w:basedOn w:val="18"/>
    <w:next w:val="1"/>
    <w:qFormat/>
    <w:uiPriority w:val="0"/>
    <w:pPr>
      <w:widowControl/>
      <w:numPr>
        <w:ilvl w:val="4"/>
      </w:numPr>
      <w:outlineLvl w:val="3"/>
    </w:pPr>
  </w:style>
  <w:style w:type="paragraph" w:customStyle="1" w:styleId="20">
    <w:name w:val="标准文件_四级条标题"/>
    <w:next w:val="1"/>
    <w:qFormat/>
    <w:uiPriority w:val="0"/>
    <w:pPr>
      <w:widowControl w:val="0"/>
      <w:numPr>
        <w:ilvl w:val="5"/>
        <w:numId w:val="1"/>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21">
    <w:name w:val="标准文件_五级条标题"/>
    <w:next w:val="1"/>
    <w:qFormat/>
    <w:uiPriority w:val="0"/>
    <w:pPr>
      <w:widowControl w:val="0"/>
      <w:numPr>
        <w:ilvl w:val="6"/>
        <w:numId w:val="1"/>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22">
    <w:name w:val="标准文件_章标题"/>
    <w:next w:val="1"/>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23">
    <w:name w:val="标准文件_一级条标题"/>
    <w:basedOn w:val="22"/>
    <w:next w:val="1"/>
    <w:qFormat/>
    <w:uiPriority w:val="0"/>
    <w:pPr>
      <w:numPr>
        <w:ilvl w:val="2"/>
      </w:numPr>
      <w:spacing w:before="50" w:beforeLines="50" w:after="50" w:afterLines="50"/>
      <w:outlineLvl w:val="1"/>
    </w:pPr>
  </w:style>
  <w:style w:type="paragraph" w:customStyle="1" w:styleId="24">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25">
    <w:name w:val="标准文件_三级无标题"/>
    <w:basedOn w:val="19"/>
    <w:qFormat/>
    <w:uiPriority w:val="0"/>
    <w:pPr>
      <w:spacing w:before="0" w:beforeLines="0" w:after="0" w:afterLines="0"/>
      <w:outlineLvl w:val="9"/>
    </w:pPr>
    <w:rPr>
      <w:rFonts w:ascii="宋体" w:eastAsia="宋体"/>
    </w:rPr>
  </w:style>
  <w:style w:type="paragraph" w:customStyle="1" w:styleId="26">
    <w:name w:val="三级条标题"/>
    <w:basedOn w:val="27"/>
    <w:next w:val="11"/>
    <w:qFormat/>
    <w:uiPriority w:val="0"/>
    <w:pPr>
      <w:outlineLvl w:val="4"/>
    </w:pPr>
  </w:style>
  <w:style w:type="paragraph" w:customStyle="1" w:styleId="27">
    <w:name w:val="二级条标题"/>
    <w:basedOn w:val="1"/>
    <w:next w:val="11"/>
    <w:qFormat/>
    <w:uiPriority w:val="0"/>
    <w:pPr>
      <w:widowControl/>
      <w:spacing w:before="50" w:beforeLines="50" w:after="50" w:afterLines="50"/>
      <w:jc w:val="left"/>
      <w:outlineLvl w:val="3"/>
    </w:pPr>
    <w:rPr>
      <w:rFonts w:ascii="黑体" w:hAnsi="Times New Roman" w:eastAsia="黑体" w:cs="Times New Roman"/>
      <w:kern w:val="0"/>
      <w:szCs w:val="21"/>
    </w:rPr>
  </w:style>
  <w:style w:type="paragraph" w:customStyle="1" w:styleId="28">
    <w:name w:val="字母编号列项（一级）"/>
    <w:qFormat/>
    <w:uiPriority w:val="0"/>
    <w:pPr>
      <w:ind w:left="840" w:leftChars="200" w:hanging="420" w:hangingChars="200"/>
      <w:jc w:val="both"/>
    </w:pPr>
    <w:rPr>
      <w:rFonts w:ascii="宋体" w:hAnsi="宋体" w:eastAsia="宋体" w:cs="Times New Roman"/>
      <w:sz w:val="21"/>
      <w:szCs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6</Pages>
  <Words>1638</Words>
  <Characters>1727</Characters>
  <Lines>11</Lines>
  <Paragraphs>3</Paragraphs>
  <TotalTime>3</TotalTime>
  <ScaleCrop>false</ScaleCrop>
  <LinksUpToDate>false</LinksUpToDate>
  <CharactersWithSpaces>1779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2025-07-01T01:22:00Z</dcterms:created>
  <dc:creator>gyb1</dc:creator>
  <cp:lastModifiedBy>学</cp:lastModifiedBy>
  <cp:lastPrinted>2020-08-18T02:54:00Z</cp:lastPrinted>
  <dcterms:modified xsi:type="dcterms:W3CDTF">2026-07-13T00:48:53Z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eyJoZGlkIjoiMzRiMzdmZTM3ODRkZDhkNzkwYmNlNTkzYjRhNGE1ZTYiLCJ1c2VySWQiOiI0MjUyOTg5MTUifQ==</vt:lpwstr>
  </property>
  <property fmtid="{D5CDD505-2E9C-101B-9397-08002B2CF9AE}" pid="4" name="ICV">
    <vt:lpwstr>5987A16664B645B393E0559D203B3B6C_13</vt:lpwstr>
  </property>
</Properties>
</file>