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59106">
      <w:pPr>
        <w:jc w:val="center"/>
        <w:rPr>
          <w:rFonts w:hint="eastAsia" w:ascii="黑体" w:hAnsi="黑体" w:eastAsia="黑体" w:cs="黑体"/>
          <w:color w:val="000000" w:themeColor="text1"/>
          <w:sz w:val="36"/>
          <w:szCs w:val="32"/>
          <w:highlight w:val="none"/>
          <w14:textFill>
            <w14:solidFill>
              <w14:schemeClr w14:val="tx1"/>
            </w14:solidFill>
          </w14:textFill>
        </w:rPr>
      </w:pPr>
      <w:r>
        <w:rPr>
          <w:rFonts w:hint="eastAsia" w:ascii="黑体" w:hAnsi="黑体" w:eastAsia="黑体" w:cs="黑体"/>
          <w:color w:val="000000" w:themeColor="text1"/>
          <w:sz w:val="36"/>
          <w:szCs w:val="32"/>
          <w:highlight w:val="none"/>
          <w14:textFill>
            <w14:solidFill>
              <w14:schemeClr w14:val="tx1"/>
            </w14:solidFill>
          </w14:textFill>
        </w:rPr>
        <w:t>江苏省质量协会</w:t>
      </w:r>
    </w:p>
    <w:p w14:paraId="44B33BD0">
      <w:pPr>
        <w:jc w:val="center"/>
        <w:rPr>
          <w:rFonts w:hint="eastAsia" w:ascii="黑体" w:hAnsi="黑体" w:eastAsia="黑体" w:cs="黑体"/>
          <w:color w:val="000000" w:themeColor="text1"/>
          <w:sz w:val="36"/>
          <w:szCs w:val="32"/>
          <w:highlight w:val="none"/>
          <w14:textFill>
            <w14:solidFill>
              <w14:schemeClr w14:val="tx1"/>
            </w14:solidFill>
          </w14:textFill>
        </w:rPr>
      </w:pPr>
      <w:r>
        <w:rPr>
          <w:rFonts w:hint="eastAsia" w:ascii="黑体" w:hAnsi="黑体" w:eastAsia="黑体" w:cs="黑体"/>
          <w:color w:val="000000" w:themeColor="text1"/>
          <w:sz w:val="36"/>
          <w:szCs w:val="32"/>
          <w:highlight w:val="none"/>
          <w14:textFill>
            <w14:solidFill>
              <w14:schemeClr w14:val="tx1"/>
            </w14:solidFill>
          </w14:textFill>
        </w:rPr>
        <w:t>团体标准《国产普通化妆品安全评估资料技术要求》编制说明</w:t>
      </w:r>
    </w:p>
    <w:p w14:paraId="2B0A6591">
      <w:pPr>
        <w:rPr>
          <w:rFonts w:hint="eastAsia" w:ascii="黑体" w:hAnsi="黑体" w:eastAsia="黑体" w:cs="Times New Roman"/>
          <w:color w:val="000000" w:themeColor="text1"/>
          <w:sz w:val="28"/>
          <w:szCs w:val="28"/>
          <w:highlight w:val="none"/>
          <w14:textFill>
            <w14:solidFill>
              <w14:schemeClr w14:val="tx1"/>
            </w14:solidFill>
          </w14:textFill>
        </w:rPr>
      </w:pPr>
      <w:r>
        <w:rPr>
          <w:rFonts w:ascii="黑体" w:hAnsi="黑体" w:eastAsia="黑体" w:cs="Times New Roman"/>
          <w:color w:val="000000" w:themeColor="text1"/>
          <w:sz w:val="28"/>
          <w:szCs w:val="28"/>
          <w:highlight w:val="none"/>
          <w14:textFill>
            <w14:solidFill>
              <w14:schemeClr w14:val="tx1"/>
            </w14:solidFill>
          </w14:textFill>
        </w:rPr>
        <w:t>1</w:t>
      </w:r>
      <w:r>
        <w:rPr>
          <w:rFonts w:hint="eastAsia" w:ascii="黑体" w:hAnsi="黑体" w:eastAsia="黑体" w:cs="Times New Roman"/>
          <w:color w:val="000000" w:themeColor="text1"/>
          <w:sz w:val="28"/>
          <w:szCs w:val="28"/>
          <w:highlight w:val="none"/>
          <w14:textFill>
            <w14:solidFill>
              <w14:schemeClr w14:val="tx1"/>
            </w14:solidFill>
          </w14:textFill>
        </w:rPr>
        <w:t xml:space="preserve"> </w:t>
      </w:r>
      <w:r>
        <w:rPr>
          <w:rFonts w:hint="eastAsia" w:ascii="黑体" w:hAnsi="黑体" w:eastAsia="黑体" w:cs="Times New Roman"/>
          <w:color w:val="000000" w:themeColor="text1"/>
          <w:sz w:val="28"/>
          <w:szCs w:val="28"/>
          <w:highlight w:val="none"/>
          <w:lang w:val="en-US" w:eastAsia="zh-CN"/>
          <w14:textFill>
            <w14:solidFill>
              <w14:schemeClr w14:val="tx1"/>
            </w14:solidFill>
          </w14:textFill>
        </w:rPr>
        <w:t xml:space="preserve"> </w:t>
      </w:r>
      <w:r>
        <w:rPr>
          <w:rFonts w:ascii="黑体" w:hAnsi="黑体" w:eastAsia="黑体" w:cs="Times New Roman"/>
          <w:color w:val="000000" w:themeColor="text1"/>
          <w:sz w:val="28"/>
          <w:szCs w:val="28"/>
          <w:highlight w:val="none"/>
          <w14:textFill>
            <w14:solidFill>
              <w14:schemeClr w14:val="tx1"/>
            </w14:solidFill>
          </w14:textFill>
        </w:rPr>
        <w:t>项目背景</w:t>
      </w:r>
    </w:p>
    <w:p w14:paraId="28892E0D">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自《化妆品监督管理条例》2021年1月1日施行以来，《化妆品安全技术规范（2015年版）》《化妆品标签管理办法》《化妆品安全评估技术导则（2021年版）》等一系列配套法规陆续执行，为国产普通化妆品行业备案与监管提供了重要指引。随着2025年5月1日起“简化版安全评估报告”的过渡期结束，作为国产普通化妆品备案资料申报中普遍存在技术性问题占比最大的安全评估资料，“完整版安全评估报告”的技术要求更将化妆品行业普遍存在原料数据缺失与不完整、数据不适用和不匹配问题、植物原料成分复杂且存在历史使用量与现代配方差异评估复杂、特定类型化妆品原料及产品安全风险、终产品测试方法要求和技术门槛过高、以及专业人才与技术能力不足等关键问题暴露出来；导致化妆品企业申报新化妆品备案的审批/审查通过率显著下降，严重阻碍了化妆品行业的高质量发展。</w:t>
      </w:r>
    </w:p>
    <w:p w14:paraId="50854888">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尽管化妆品企业可自行开展安全评估并形成安全评估报告，但因其技术能力有限，完整版安全评估还需要做到更专业、全面、综合的技术分析和实验室测试、以及还需要涵盖风险管理和风险控制策略等工作。所以，为提高备案通过率、节约时间和运营成本，绝大部化妆品企业将完整版安全评估工作交由化妆品安全评估机构进行。但大多数化妆品安全评估机构都是在近二、三年转型而来，整体行业的技术质量和专业水平参差不齐，导致安全评估资料的完整性、合规性、科学性存在诸多不足，无法满足备案通过的技审批/审查要求，这与化妆品企业寻求技术服务的初衷背道而驰，并且容易引起商业矛盾。</w:t>
      </w:r>
    </w:p>
    <w:p w14:paraId="6CDD6BBB">
      <w:pPr>
        <w:ind w:firstLine="560" w:firstLineChars="200"/>
        <w:rPr>
          <w:rFonts w:hint="eastAsia" w:ascii="黑体" w:hAnsi="黑体" w:eastAsia="黑体" w:cs="Times New Roman"/>
          <w:color w:val="000000" w:themeColor="text1"/>
          <w:sz w:val="28"/>
          <w:szCs w:val="28"/>
          <w:highlight w:val="none"/>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因此，亟需行业内化妆品安全评估技术机构，按照上级主管部门、技术文件和法规要求，通过标准引领，定制《国产普通化妆品安全评估资料技术要求》团体标准，不仅可以填补国内相关领域标准空白；还能通过标准规范化妆品安全评估人员从业要求、以及需按照符合国产普通化妆品（以下称产品）备案要求所开展的安全评估、测试方法和评估资料编写等工作。同时，本标准还协助上级主管部门</w:t>
      </w:r>
      <w:r>
        <w:rPr>
          <w:rFonts w:hint="eastAsia" w:ascii="宋体" w:hAnsi="宋体" w:eastAsia="宋体" w:cs="宋体"/>
          <w:color w:val="000000" w:themeColor="text1"/>
          <w:sz w:val="28"/>
          <w:szCs w:val="28"/>
          <w:highlight w:val="none"/>
          <w14:textFill>
            <w14:solidFill>
              <w14:schemeClr w14:val="tx1"/>
            </w14:solidFill>
          </w14:textFill>
        </w:rPr>
        <w:t>提升技术审评的效率和一致性，使监管资源能更聚焦于高风险产品和实质性安全问题的研判</w:t>
      </w:r>
      <w:r>
        <w:rPr>
          <w:rFonts w:hint="eastAsia" w:ascii="宋体" w:hAnsi="宋体" w:eastAsia="宋体" w:cs="宋体"/>
          <w:color w:val="000000" w:themeColor="text1"/>
          <w:sz w:val="28"/>
          <w:szCs w:val="28"/>
          <w:highlight w:val="none"/>
          <w:lang w:eastAsia="zh-CN"/>
          <w14:textFill>
            <w14:solidFill>
              <w14:schemeClr w14:val="tx1"/>
            </w14:solidFill>
          </w14:textFill>
        </w:rPr>
        <w:t>；并为化妆品企业提供</w:t>
      </w:r>
      <w:r>
        <w:rPr>
          <w:rFonts w:hint="eastAsia" w:ascii="宋体" w:hAnsi="宋体" w:eastAsia="宋体" w:cs="宋体"/>
          <w:color w:val="000000" w:themeColor="text1"/>
          <w:sz w:val="28"/>
          <w:szCs w:val="28"/>
          <w:highlight w:val="none"/>
          <w14:textFill>
            <w14:solidFill>
              <w14:schemeClr w14:val="tx1"/>
            </w14:solidFill>
          </w14:textFill>
        </w:rPr>
        <w:t>提前规划</w:t>
      </w:r>
      <w:r>
        <w:rPr>
          <w:rFonts w:hint="eastAsia" w:ascii="宋体" w:hAnsi="宋体" w:eastAsia="宋体" w:cs="宋体"/>
          <w:color w:val="000000" w:themeColor="text1"/>
          <w:sz w:val="28"/>
          <w:szCs w:val="28"/>
          <w:highlight w:val="none"/>
          <w:lang w:eastAsia="zh-CN"/>
          <w14:textFill>
            <w14:solidFill>
              <w14:schemeClr w14:val="tx1"/>
            </w14:solidFill>
          </w14:textFill>
        </w:rPr>
        <w:t>并</w:t>
      </w:r>
      <w:r>
        <w:rPr>
          <w:rFonts w:hint="eastAsia" w:ascii="宋体" w:hAnsi="宋体" w:eastAsia="宋体" w:cs="宋体"/>
          <w:color w:val="000000" w:themeColor="text1"/>
          <w:sz w:val="28"/>
          <w:szCs w:val="28"/>
          <w:highlight w:val="none"/>
          <w14:textFill>
            <w14:solidFill>
              <w14:schemeClr w14:val="tx1"/>
            </w14:solidFill>
          </w14:textFill>
        </w:rPr>
        <w:t>提供了稳定、透明的合规预期</w:t>
      </w:r>
      <w:r>
        <w:rPr>
          <w:rFonts w:hint="eastAsia" w:ascii="宋体" w:hAnsi="宋体" w:eastAsia="宋体" w:cs="宋体"/>
          <w:color w:val="000000" w:themeColor="text1"/>
          <w:sz w:val="28"/>
          <w:szCs w:val="28"/>
          <w:highlight w:val="none"/>
          <w:lang w:eastAsia="zh-CN"/>
          <w14:textFill>
            <w14:solidFill>
              <w14:schemeClr w14:val="tx1"/>
            </w14:solidFill>
          </w14:textFill>
        </w:rPr>
        <w:t>，进而</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提高企业备案通过率、提升安全评估质量、保障化妆品用妆安全，从而促进化妆品行业的高质量发展。</w:t>
      </w:r>
    </w:p>
    <w:p w14:paraId="6A5D1664">
      <w:pPr>
        <w:rPr>
          <w:rFonts w:hint="eastAsia" w:ascii="黑体" w:hAnsi="黑体" w:eastAsia="黑体" w:cs="Times New Roman"/>
          <w:color w:val="000000" w:themeColor="text1"/>
          <w:sz w:val="28"/>
          <w:szCs w:val="28"/>
          <w:highlight w:val="none"/>
          <w14:textFill>
            <w14:solidFill>
              <w14:schemeClr w14:val="tx1"/>
            </w14:solidFill>
          </w14:textFill>
        </w:rPr>
      </w:pPr>
      <w:r>
        <w:rPr>
          <w:rFonts w:hint="eastAsia" w:ascii="黑体" w:hAnsi="黑体" w:eastAsia="黑体" w:cs="Times New Roman"/>
          <w:color w:val="000000" w:themeColor="text1"/>
          <w:sz w:val="28"/>
          <w:szCs w:val="28"/>
          <w:highlight w:val="none"/>
          <w14:textFill>
            <w14:solidFill>
              <w14:schemeClr w14:val="tx1"/>
            </w14:solidFill>
          </w14:textFill>
        </w:rPr>
        <w:t xml:space="preserve">2 </w:t>
      </w:r>
      <w:r>
        <w:rPr>
          <w:rFonts w:hint="eastAsia" w:ascii="黑体" w:hAnsi="黑体" w:eastAsia="黑体" w:cs="Times New Roman"/>
          <w:color w:val="000000" w:themeColor="text1"/>
          <w:sz w:val="28"/>
          <w:szCs w:val="28"/>
          <w:highlight w:val="none"/>
          <w:lang w:val="en-US" w:eastAsia="zh-CN"/>
          <w14:textFill>
            <w14:solidFill>
              <w14:schemeClr w14:val="tx1"/>
            </w14:solidFill>
          </w14:textFill>
        </w:rPr>
        <w:t xml:space="preserve"> </w:t>
      </w:r>
      <w:r>
        <w:rPr>
          <w:rFonts w:hint="eastAsia" w:ascii="黑体" w:hAnsi="黑体" w:eastAsia="黑体" w:cs="Times New Roman"/>
          <w:color w:val="000000" w:themeColor="text1"/>
          <w:sz w:val="28"/>
          <w:szCs w:val="28"/>
          <w:highlight w:val="none"/>
          <w14:textFill>
            <w14:solidFill>
              <w14:schemeClr w14:val="tx1"/>
            </w14:solidFill>
          </w14:textFill>
        </w:rPr>
        <w:t>项目来源</w:t>
      </w:r>
    </w:p>
    <w:p w14:paraId="5587D2D0">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谱尼测试集团江苏有限公司（以下称谱尼江苏公司）是国家药监局认可的化妆品注册和备案检验机构，先后获得CMA、CNAS、以及CATL等资质，先后获得国家高新技术企业、市企业技术中心，先后获得“江苏省民营科技企业” 、“江苏省工程技术研究中心”、“苏州科技服务机构”等荣誉。其中，本标准的牵头起草团队是谱尼江苏公司日化实验室，长期从事专业的国产普通化妆品安全评估工作，核心团队具有10年以上从业经验，业务范围涵盖配方筛查、原料数据检索与缺口分析、风险评估相关测试等，服务对象遍布全国大部分省份，累计为化妆品企业备案开展安全评估与检测技术服务2万多次。</w:t>
      </w:r>
    </w:p>
    <w:p w14:paraId="193E85B4">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谱尼江苏公司作为主要起草单位，参与了2024年南京市地方标准制修订计划（宁市监标〔2024〕119 号）中《国产普通化妆品备案资料要求》标准的制定和起草工作，但因党的二十届三中全会关于深化地方标准改革的要求，该标准经过技术审查后被废止，未完成发布。</w:t>
      </w:r>
    </w:p>
    <w:p w14:paraId="3E025B70">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近几年来，谱尼江苏公司持续提升化妆品安评评估技术能力，先后完成了团队能力建设、实验室扩建、检测能力扩充、安全评估数据库改造和升级工作，并在2025年全国开展完整版评估报告的初期，在《标准科学》期刊上发表了题为《新法规和标准体系下的化妆品完整版安全评估路径研究》的论文。作为全国首个分析研究化妆品完整版安全评估路径的论文，谱尼江苏公司为整个化妆品安全评估行业所需的技术要求、实验室能力和评估能力指明了方向。</w:t>
      </w:r>
    </w:p>
    <w:p w14:paraId="1EB6FA2F">
      <w:pPr>
        <w:ind w:firstLine="560" w:firstLineChars="200"/>
        <w:rPr>
          <w:rFonts w:hint="default"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为进一步规范化妆品安全评估行业内的技术服务要求，提高化妆品安全评估质量，谱尼江苏公司牵头起草了《国产普通化妆品安全评估资料技术要求》以申报江苏省质量协会团体标准。</w:t>
      </w:r>
    </w:p>
    <w:p w14:paraId="40AC34BA">
      <w:pPr>
        <w:rPr>
          <w:rFonts w:hint="eastAsia" w:ascii="黑体" w:hAnsi="黑体" w:eastAsia="黑体" w:cs="Times New Roman"/>
          <w:color w:val="000000" w:themeColor="text1"/>
          <w:sz w:val="28"/>
          <w:szCs w:val="28"/>
          <w:highlight w:val="none"/>
          <w14:textFill>
            <w14:solidFill>
              <w14:schemeClr w14:val="tx1"/>
            </w14:solidFill>
          </w14:textFill>
        </w:rPr>
      </w:pPr>
      <w:r>
        <w:rPr>
          <w:rFonts w:hint="eastAsia" w:ascii="黑体" w:hAnsi="黑体" w:eastAsia="黑体" w:cs="Times New Roman"/>
          <w:color w:val="000000" w:themeColor="text1"/>
          <w:sz w:val="28"/>
          <w:szCs w:val="28"/>
          <w:highlight w:val="none"/>
          <w14:textFill>
            <w14:solidFill>
              <w14:schemeClr w14:val="tx1"/>
            </w14:solidFill>
          </w14:textFill>
        </w:rPr>
        <w:t xml:space="preserve">3 </w:t>
      </w:r>
      <w:r>
        <w:rPr>
          <w:rFonts w:hint="eastAsia" w:ascii="黑体" w:hAnsi="黑体" w:eastAsia="黑体" w:cs="Times New Roman"/>
          <w:color w:val="000000" w:themeColor="text1"/>
          <w:sz w:val="28"/>
          <w:szCs w:val="28"/>
          <w:highlight w:val="none"/>
          <w:lang w:val="en-US" w:eastAsia="zh-CN"/>
          <w14:textFill>
            <w14:solidFill>
              <w14:schemeClr w14:val="tx1"/>
            </w14:solidFill>
          </w14:textFill>
        </w:rPr>
        <w:t xml:space="preserve"> </w:t>
      </w:r>
      <w:r>
        <w:rPr>
          <w:rFonts w:hint="eastAsia" w:ascii="黑体" w:hAnsi="黑体" w:eastAsia="黑体" w:cs="Times New Roman"/>
          <w:color w:val="000000" w:themeColor="text1"/>
          <w:sz w:val="28"/>
          <w:szCs w:val="28"/>
          <w:highlight w:val="none"/>
          <w14:textFill>
            <w14:solidFill>
              <w14:schemeClr w14:val="tx1"/>
            </w14:solidFill>
          </w14:textFill>
        </w:rPr>
        <w:t>标准制定工作概况</w:t>
      </w:r>
    </w:p>
    <w:p w14:paraId="3BA81BD3">
      <w:pPr>
        <w:rPr>
          <w:rFonts w:hint="eastAsia" w:ascii="宋体" w:hAnsi="宋体" w:eastAsia="宋体" w:cs="Times New Roman"/>
          <w:b/>
          <w:bCs/>
          <w:iCs/>
          <w:sz w:val="18"/>
          <w:szCs w:val="18"/>
          <w:highlight w:val="none"/>
        </w:rPr>
      </w:pPr>
      <w:r>
        <w:rPr>
          <w:rFonts w:hint="eastAsia" w:ascii="Times New Roman" w:cs="Times New Roman"/>
          <w:b/>
          <w:bCs/>
          <w:color w:val="000000" w:themeColor="text1"/>
          <w:sz w:val="28"/>
          <w:szCs w:val="28"/>
          <w:highlight w:val="none"/>
          <w14:textFill>
            <w14:solidFill>
              <w14:schemeClr w14:val="tx1"/>
            </w14:solidFill>
          </w14:textFill>
        </w:rPr>
        <w:t>3.1 标准制定相关单位及人员</w:t>
      </w:r>
    </w:p>
    <w:p w14:paraId="3F184F8E">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本标准的牵头单位：谱尼测试集团江苏有限公司</w:t>
      </w:r>
    </w:p>
    <w:p w14:paraId="4A3826FB">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参与起草的人员：杨木杨、胡杙婷、苏小霞、朱芸芸、严雨叶。</w:t>
      </w:r>
    </w:p>
    <w:p w14:paraId="2FE4B08D">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本标准的参与单位：</w:t>
      </w:r>
    </w:p>
    <w:p w14:paraId="18273464">
      <w:pPr>
        <w:ind w:firstLine="560" w:firstLineChars="200"/>
        <w:rPr>
          <w:rFonts w:hint="default"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谱尼测试集团上海有限公司、中国抗衰老促进会化妆品产业分会、国产普通化妆品备案资料审查的主管部门、同行化妆品安全评估机构、化妆品公司等，参与起草的人员为上述相关单位的技术人员、公司法人等。</w:t>
      </w:r>
    </w:p>
    <w:p w14:paraId="598780F5">
      <w:pPr>
        <w:rPr>
          <w:rFonts w:ascii="Times New Roman" w:cs="Times New Roman"/>
          <w:b/>
          <w:bCs/>
          <w:color w:val="000000" w:themeColor="text1"/>
          <w:sz w:val="28"/>
          <w:szCs w:val="28"/>
          <w:highlight w:val="none"/>
          <w14:textFill>
            <w14:solidFill>
              <w14:schemeClr w14:val="tx1"/>
            </w14:solidFill>
          </w14:textFill>
        </w:rPr>
      </w:pPr>
      <w:r>
        <w:rPr>
          <w:rFonts w:hint="eastAsia" w:ascii="Times New Roman" w:cs="Times New Roman"/>
          <w:b/>
          <w:bCs/>
          <w:color w:val="000000" w:themeColor="text1"/>
          <w:sz w:val="28"/>
          <w:szCs w:val="28"/>
          <w:highlight w:val="none"/>
          <w14:textFill>
            <w14:solidFill>
              <w14:schemeClr w14:val="tx1"/>
            </w14:solidFill>
          </w14:textFill>
        </w:rPr>
        <w:t>3.2 主要工作过程</w:t>
      </w:r>
    </w:p>
    <w:p w14:paraId="10856F90">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2025年7月1日，谱尼江苏公司作为标准牵头单位，对我国现行有效的、涉及国产普通化妆品备案相关的法规条例、部门规章和技术性文件及相关标准等20多个文件进行文献调研和综述。同时，谱尼江苏公司对近2年提供化妆品安评评估技术服务、出具化妆品安全评估报告的化妆品公司、国产普通化妆品备案资料审查的主管部门及同行机构等进行安评评估技术服务质量的调研并收集反馈意见。</w:t>
      </w:r>
    </w:p>
    <w:p w14:paraId="4D3E10C8">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2025年10月15日，谱尼江苏公司与主管部门及同行机构等成立标准起草工作组。工作组确定本标名称为：《国产普通化妆品安全评估资料技术要求》，标准将从国产普通化妆品安全评估资料的总体要求、安全评估人员从业要求、安全评估过程、测试方法要求、安全评估报告编写要求等方面进行规范，旨在规范安全评估人员从业要求、以及符合国产普通化妆品备案所需的安全评估技术要求、测试方法要求和评估资料编写要求。</w:t>
      </w:r>
    </w:p>
    <w:p w14:paraId="041E22E7">
      <w:pPr>
        <w:ind w:firstLine="560" w:firstLineChars="200"/>
        <w:rPr>
          <w:rFonts w:hint="default"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2026年1月16日，谱尼江苏公司完成《国产普通化妆品安全评估资料技术要求》的标准草案、标准编制说明和立项申请，并提交至江苏省质量协会。</w:t>
      </w:r>
    </w:p>
    <w:p w14:paraId="700412F2">
      <w:pPr>
        <w:rPr>
          <w:rFonts w:hint="eastAsia" w:ascii="黑体" w:hAnsi="黑体" w:eastAsia="黑体" w:cs="Times New Roman"/>
          <w:color w:val="000000" w:themeColor="text1"/>
          <w:sz w:val="28"/>
          <w:szCs w:val="28"/>
          <w:highlight w:val="none"/>
          <w14:textFill>
            <w14:solidFill>
              <w14:schemeClr w14:val="tx1"/>
            </w14:solidFill>
          </w14:textFill>
        </w:rPr>
      </w:pPr>
      <w:r>
        <w:rPr>
          <w:rFonts w:hint="eastAsia" w:ascii="黑体" w:hAnsi="黑体" w:eastAsia="黑体" w:cs="Times New Roman"/>
          <w:color w:val="000000" w:themeColor="text1"/>
          <w:sz w:val="28"/>
          <w:szCs w:val="28"/>
          <w:highlight w:val="none"/>
          <w14:textFill>
            <w14:solidFill>
              <w14:schemeClr w14:val="tx1"/>
            </w14:solidFill>
          </w14:textFill>
        </w:rPr>
        <w:t xml:space="preserve">4 </w:t>
      </w:r>
      <w:r>
        <w:rPr>
          <w:rFonts w:hint="eastAsia" w:ascii="黑体" w:hAnsi="黑体" w:eastAsia="黑体" w:cs="Times New Roman"/>
          <w:color w:val="000000" w:themeColor="text1"/>
          <w:sz w:val="28"/>
          <w:szCs w:val="28"/>
          <w:highlight w:val="none"/>
          <w:lang w:val="en-US" w:eastAsia="zh-CN"/>
          <w14:textFill>
            <w14:solidFill>
              <w14:schemeClr w14:val="tx1"/>
            </w14:solidFill>
          </w14:textFill>
        </w:rPr>
        <w:t xml:space="preserve"> </w:t>
      </w:r>
      <w:r>
        <w:rPr>
          <w:rFonts w:hint="eastAsia" w:ascii="黑体" w:hAnsi="黑体" w:eastAsia="黑体" w:cs="Times New Roman"/>
          <w:color w:val="000000" w:themeColor="text1"/>
          <w:sz w:val="28"/>
          <w:szCs w:val="28"/>
          <w:highlight w:val="none"/>
          <w14:textFill>
            <w14:solidFill>
              <w14:schemeClr w14:val="tx1"/>
            </w14:solidFill>
          </w14:textFill>
        </w:rPr>
        <w:t>标准编制原则、主要内容及确定依据</w:t>
      </w:r>
    </w:p>
    <w:p w14:paraId="6757D17C">
      <w:pPr>
        <w:rPr>
          <w:rFonts w:ascii="Times New Roman" w:hAnsi="Times New Roman" w:cs="Times New Roman"/>
          <w:b/>
          <w:bCs/>
          <w:color w:val="000000" w:themeColor="text1"/>
          <w:sz w:val="28"/>
          <w:szCs w:val="28"/>
          <w:highlight w:val="none"/>
          <w14:textFill>
            <w14:solidFill>
              <w14:schemeClr w14:val="tx1"/>
            </w14:solidFill>
          </w14:textFill>
        </w:rPr>
      </w:pPr>
      <w:r>
        <w:rPr>
          <w:rFonts w:hint="eastAsia" w:ascii="Times New Roman" w:hAnsi="Times New Roman" w:cs="Times New Roman"/>
          <w:b/>
          <w:bCs/>
          <w:color w:val="000000" w:themeColor="text1"/>
          <w:sz w:val="28"/>
          <w:szCs w:val="28"/>
          <w:highlight w:val="none"/>
          <w14:textFill>
            <w14:solidFill>
              <w14:schemeClr w14:val="tx1"/>
            </w14:solidFill>
          </w14:textFill>
        </w:rPr>
        <w:t>4.1 编制原则</w:t>
      </w:r>
    </w:p>
    <w:p w14:paraId="71DF18E9">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 xml:space="preserve">本标准按照 GB/T 1.1-2020《标准化工作导则 第 1 部分：标准化文件的结构和起草规则》的要求和规定进行编写。 </w:t>
      </w:r>
    </w:p>
    <w:p w14:paraId="42B6CA1D">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标准的编制遵循适用性、规范性、先进性、科学性原则：</w:t>
      </w:r>
    </w:p>
    <w:p w14:paraId="45AC179C">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1）适用性原则：本标准立足行业实践，核心目的是服务广大化妆品企业，特别是中小型企业，为其提供一套清晰、明确、可操作的资料准备指南。因此，编制工作始终以解决行业普遍面临的实操性问题为导向。</w:t>
      </w:r>
    </w:p>
    <w:p w14:paraId="4A6E926C">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2）规范性原则：本标准对接法规体系，与《化妆品安全评估技术导则》等上位法规的技术框架和要求无缝衔接，不创造新的技术门槛，而是对现有要求进行细化和标准化。例如，明确要求评估报告各部分（摘要、产品描述、评估过程、结论）应包含的核心要素，对资料提交的格式（如文件编排顺序、数据引用格式、图表要求等）提出建议性统一要求，旨在提升行业整体提交资料的可读性和审评效率，推动行业技术文档的标准化进程。</w:t>
      </w:r>
    </w:p>
    <w:p w14:paraId="5404B132">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3）先进性原则：本标准并非对现有做法的简单汇总，而是旨在引导行业向更科学、更高效的方向发展，体现一定的前瞻性。在符合现行法规的前提下，适当引入和鼓励使用毒理学关注阈值（TTC）、交叉参照（Read-across）等国际公认的先进风险评估理念和方法，并在资料要求中明确其应用条件和需提供的支持性证据。将行业内头部企业和专业机构在安全评估资料准备中形成的、具有共识的优秀做法和经验，提炼并固化为标准条款，提升行业整体水平。</w:t>
      </w:r>
    </w:p>
    <w:p w14:paraId="2A92A9DF">
      <w:pPr>
        <w:ind w:firstLine="560" w:firstLineChars="200"/>
        <w:rPr>
          <w:rFonts w:hint="eastAsia" w:ascii="宋体" w:hAnsi="宋体" w:eastAsia="宋体" w:cs="Times New Roman"/>
          <w:iCs/>
          <w:sz w:val="18"/>
          <w:szCs w:val="18"/>
          <w:highlight w:val="none"/>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4）科学性原则：标准以数据为基础，反复强调所有安全结论必须基于可靠、相关、充分的科学数据。对数据来源的权威性、引用的准确性、以及当数据缺失时如何构建科学合理的证据链，提出了明确要求。标准要求安全评估资料必须清晰展示从“危害识别”到“风险特征描述”的完整逻辑链条，每一步推论都应有相应的数据或文献支持。</w:t>
      </w:r>
    </w:p>
    <w:p w14:paraId="75619191">
      <w:pPr>
        <w:rPr>
          <w:rFonts w:ascii="Times New Roman" w:hAnsi="Times New Roman" w:cs="Times New Roman"/>
          <w:b/>
          <w:bCs/>
          <w:color w:val="000000" w:themeColor="text1"/>
          <w:sz w:val="28"/>
          <w:szCs w:val="28"/>
          <w:highlight w:val="none"/>
          <w14:textFill>
            <w14:solidFill>
              <w14:schemeClr w14:val="tx1"/>
            </w14:solidFill>
          </w14:textFill>
        </w:rPr>
      </w:pPr>
      <w:r>
        <w:rPr>
          <w:rFonts w:hint="eastAsia" w:ascii="Times New Roman" w:hAnsi="Times New Roman" w:cs="Times New Roman"/>
          <w:b/>
          <w:bCs/>
          <w:color w:val="000000" w:themeColor="text1"/>
          <w:sz w:val="28"/>
          <w:szCs w:val="28"/>
          <w:highlight w:val="none"/>
          <w14:textFill>
            <w14:solidFill>
              <w14:schemeClr w14:val="tx1"/>
            </w14:solidFill>
          </w14:textFill>
        </w:rPr>
        <w:t>4.2 主要内容</w:t>
      </w:r>
    </w:p>
    <w:p w14:paraId="71CBDAD4">
      <w:pPr>
        <w:ind w:firstLine="560" w:firstLineChars="200"/>
        <w:rPr>
          <w:rFonts w:hint="eastAsia" w:ascii="Times New Roman" w:hAnsi="Times New Roman" w:cs="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本文件规定了国产普通化妆品安全评估资料的总体要求、人员从业资格、评估过程与测试方法，以及安全评估报告的编写规范。标准首先明确了适用范围、引用文件及关键术语定义。主体部分详细规定了安全评估资料的完整性、合规性与科学性要求，并对评估人员的教育背景、从业及培训经历设定了明确门槛。核心内容系统阐述了安全评估的完整流程，包括数据引用规则、特定原料与产品的评估方法，以及必要的毒理学测试与终产品安全性验证。最后，标准提供了安全评估报告的标准化编写模板与内容要求，为产品备案提供统一技术依据。</w:t>
      </w:r>
    </w:p>
    <w:p w14:paraId="7833057B">
      <w:pPr>
        <w:rPr>
          <w:rFonts w:ascii="Times New Roman" w:hAnsi="Times New Roman" w:cs="Times New Roman"/>
          <w:b/>
          <w:bCs/>
          <w:color w:val="000000" w:themeColor="text1"/>
          <w:sz w:val="28"/>
          <w:szCs w:val="28"/>
          <w:highlight w:val="none"/>
          <w14:textFill>
            <w14:solidFill>
              <w14:schemeClr w14:val="tx1"/>
            </w14:solidFill>
          </w14:textFill>
        </w:rPr>
      </w:pPr>
      <w:r>
        <w:rPr>
          <w:rFonts w:hint="eastAsia" w:ascii="Times New Roman" w:hAnsi="Times New Roman" w:cs="Times New Roman"/>
          <w:b/>
          <w:bCs/>
          <w:color w:val="000000" w:themeColor="text1"/>
          <w:sz w:val="28"/>
          <w:szCs w:val="28"/>
          <w:highlight w:val="none"/>
          <w14:textFill>
            <w14:solidFill>
              <w14:schemeClr w14:val="tx1"/>
            </w14:solidFill>
          </w14:textFill>
        </w:rPr>
        <w:t>4.2.2 主要内容的确定（主要技术指标及其确定依据）</w:t>
      </w:r>
    </w:p>
    <w:p w14:paraId="5393EC19">
      <w:pPr>
        <w:pStyle w:val="24"/>
        <w:keepNext w:val="0"/>
        <w:keepLines w:val="0"/>
        <w:pageBreakBefore w:val="0"/>
        <w:numPr>
          <w:ilvl w:val="0"/>
          <w:numId w:val="0"/>
        </w:numPr>
        <w:kinsoku/>
        <w:wordWrap/>
        <w:overflowPunct/>
        <w:topLinePunct w:val="0"/>
        <w:bidi w:val="0"/>
        <w:adjustRightInd/>
        <w:snapToGrid/>
        <w:spacing w:line="360" w:lineRule="auto"/>
        <w:ind w:firstLine="560" w:firstLineChars="200"/>
        <w:textAlignment w:val="auto"/>
        <w:rPr>
          <w:rFonts w:hint="eastAsia"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本标准的核心技术指标及其确定均严格遵循国家化妆品监管的上位法规框架，并系统融入了国际通行的风险评估科学原理，旨在确保国产普通化妆品安全评估工作的规范性、科学性与可操作性。</w:t>
      </w:r>
    </w:p>
    <w:p w14:paraId="5382E0ED">
      <w:pPr>
        <w:pStyle w:val="24"/>
        <w:keepNext w:val="0"/>
        <w:keepLines w:val="0"/>
        <w:pageBreakBefore w:val="0"/>
        <w:numPr>
          <w:ilvl w:val="0"/>
          <w:numId w:val="0"/>
        </w:numPr>
        <w:kinsoku/>
        <w:wordWrap/>
        <w:overflowPunct/>
        <w:topLinePunct w:val="0"/>
        <w:bidi w:val="0"/>
        <w:adjustRightInd/>
        <w:snapToGrid/>
        <w:spacing w:line="360" w:lineRule="auto"/>
        <w:ind w:firstLine="560" w:firstLineChars="200"/>
        <w:textAlignment w:val="auto"/>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首先，</w:t>
      </w:r>
      <w:r>
        <w:rPr>
          <w:rFonts w:hint="eastAsia"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依据《化妆品安全评估技术导则》，</w:t>
      </w:r>
      <w:r>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只有在产品配方、使用方法等所有核心信息确认无误后，才能依据标准中规定的技术路径开展实质性的安全评估工作。</w:t>
      </w:r>
      <w:r>
        <w:rPr>
          <w:rFonts w:hint="eastAsia"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其次，</w:t>
      </w:r>
      <w:r>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关于</w:t>
      </w:r>
      <w:r>
        <w:rPr>
          <w:rFonts w:hint="eastAsia"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配方中</w:t>
      </w:r>
      <w:r>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原料</w:t>
      </w:r>
      <w:r>
        <w:rPr>
          <w:rFonts w:hint="eastAsia"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的</w:t>
      </w:r>
      <w:r>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安全评估，</w:t>
      </w:r>
      <w:r>
        <w:rPr>
          <w:rFonts w:hint="eastAsia"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化妆品原料数据使用指南》明确了化妆品注册人、备案人在开展安全评估时可采用的主要原料数据类型、使用要求和需要提供的证明材料；《化妆品安全评估技术导则》6.1.6和6.1.7分别规定了可采用毒理学关注阈值（TTC）方法和分组/交叉参照（Grouping/Read Across）进行评估，《毒理学关注阈值（TTC）方法应用技术指南》《交叉参照（Read-across）方法应用技术指南》对扩充了安全评估的方法和手段；</w:t>
      </w:r>
      <w:r>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最后，当上述数据均不适用时，必须依据《化妆品安全评估技术导则》</w:t>
      </w:r>
      <w:r>
        <w:rPr>
          <w:rFonts w:hint="eastAsia"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4</w:t>
      </w:r>
      <w:r>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风险评估程序（包括危害识别、</w:t>
      </w:r>
      <w:r>
        <w:rPr>
          <w:rFonts w:hint="eastAsia"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剂量反应关系评估、</w:t>
      </w:r>
      <w:r>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暴露评估、风险特征描述）</w:t>
      </w:r>
      <w:r>
        <w:rPr>
          <w:rFonts w:hint="eastAsia"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开展评估</w:t>
      </w:r>
      <w:r>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w:t>
      </w:r>
    </w:p>
    <w:p w14:paraId="08DDD647">
      <w:pPr>
        <w:pStyle w:val="24"/>
        <w:keepNext w:val="0"/>
        <w:keepLines w:val="0"/>
        <w:pageBreakBefore w:val="0"/>
        <w:numPr>
          <w:ilvl w:val="0"/>
          <w:numId w:val="0"/>
        </w:numPr>
        <w:kinsoku/>
        <w:wordWrap/>
        <w:overflowPunct/>
        <w:topLinePunct w:val="0"/>
        <w:bidi w:val="0"/>
        <w:adjustRightInd/>
        <w:snapToGrid/>
        <w:spacing w:line="360" w:lineRule="auto"/>
        <w:ind w:firstLine="560" w:firstLineChars="200"/>
        <w:textAlignment w:val="auto"/>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pPr>
      <w:r>
        <w:rPr>
          <w:rFonts w:hint="eastAsia"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此外</w:t>
      </w:r>
      <w:r>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，针对终产品安全性验证，标准设定了一项关键量化指标：当配方中不超过10% 且含量较低的非功效原料缺乏完整评估数据时，可通过对终产品进行毒理学或人体安全性测试来补充证明。这一规定的直接依据是《化妆品安全评估资料提交指南》。</w:t>
      </w:r>
    </w:p>
    <w:p w14:paraId="0230B80B">
      <w:pPr>
        <w:pStyle w:val="24"/>
        <w:keepNext w:val="0"/>
        <w:keepLines w:val="0"/>
        <w:pageBreakBefore w:val="0"/>
        <w:numPr>
          <w:ilvl w:val="0"/>
          <w:numId w:val="0"/>
        </w:numPr>
        <w:kinsoku/>
        <w:wordWrap/>
        <w:overflowPunct/>
        <w:topLinePunct w:val="0"/>
        <w:bidi w:val="0"/>
        <w:adjustRightInd/>
        <w:snapToGrid/>
        <w:spacing w:line="360" w:lineRule="auto"/>
        <w:ind w:firstLine="560" w:firstLineChars="200"/>
        <w:textAlignment w:val="auto"/>
        <w:rPr>
          <w:rFonts w:hint="default" w:ascii="宋体" w:hAnsi="宋体" w:eastAsia="宋体" w:cs="Times New Roman"/>
          <w:iCs/>
          <w:sz w:val="18"/>
          <w:szCs w:val="18"/>
          <w:highlight w:val="none"/>
          <w:lang w:val="en-US" w:eastAsia="zh-CN"/>
        </w:rPr>
      </w:pPr>
      <w:r>
        <w:rPr>
          <w:rFonts w:hint="default"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综上所述，</w:t>
      </w:r>
      <w:r>
        <w:rPr>
          <w:rFonts w:hint="eastAsia" w:ascii="Times New Roman" w:hAnsi="Times New Roman" w:cs="Times New Roman" w:eastAsiaTheme="minorEastAsia"/>
          <w:color w:val="000000" w:themeColor="text1"/>
          <w:kern w:val="2"/>
          <w:sz w:val="28"/>
          <w:szCs w:val="28"/>
          <w:highlight w:val="none"/>
          <w:lang w:val="en-US" w:eastAsia="zh-CN" w:bidi="ar-SA"/>
          <w14:textFill>
            <w14:solidFill>
              <w14:schemeClr w14:val="tx1"/>
            </w14:solidFill>
          </w14:textFill>
        </w:rPr>
        <w:t>本标准内容严格依据《化妆品安全评估技术导则》等核心法规，旨在将原则性要求转化为具体、可操作的资料准备规范。其内容确定以解决行业实践痛点、统一技术要求为导向，涵盖了从人员资质、评估流程、测试方法到报告格式的全链条，旨在系统性提升国产普通化妆品安全评估资料的质量与合规水平。</w:t>
      </w:r>
    </w:p>
    <w:p w14:paraId="63AB3049">
      <w:pPr>
        <w:rPr>
          <w:rFonts w:hint="eastAsia" w:ascii="黑体" w:hAnsi="黑体" w:eastAsia="黑体" w:cs="Times New Roman"/>
          <w:color w:val="000000" w:themeColor="text1"/>
          <w:sz w:val="28"/>
          <w:szCs w:val="28"/>
          <w:highlight w:val="none"/>
          <w14:textFill>
            <w14:solidFill>
              <w14:schemeClr w14:val="tx1"/>
            </w14:solidFill>
          </w14:textFill>
        </w:rPr>
      </w:pPr>
      <w:r>
        <w:rPr>
          <w:rFonts w:hint="eastAsia" w:ascii="黑体" w:hAnsi="黑体" w:eastAsia="黑体" w:cs="Times New Roman"/>
          <w:color w:val="000000" w:themeColor="text1"/>
          <w:sz w:val="28"/>
          <w:szCs w:val="28"/>
          <w:highlight w:val="none"/>
          <w14:textFill>
            <w14:solidFill>
              <w14:schemeClr w14:val="tx1"/>
            </w14:solidFill>
          </w14:textFill>
        </w:rPr>
        <w:t xml:space="preserve">5 </w:t>
      </w:r>
      <w:r>
        <w:rPr>
          <w:rFonts w:hint="eastAsia" w:ascii="黑体" w:hAnsi="黑体" w:eastAsia="黑体" w:cs="Times New Roman"/>
          <w:color w:val="000000" w:themeColor="text1"/>
          <w:sz w:val="28"/>
          <w:szCs w:val="28"/>
          <w:highlight w:val="none"/>
          <w:lang w:val="en-US" w:eastAsia="zh-CN"/>
          <w14:textFill>
            <w14:solidFill>
              <w14:schemeClr w14:val="tx1"/>
            </w14:solidFill>
          </w14:textFill>
        </w:rPr>
        <w:t xml:space="preserve"> </w:t>
      </w:r>
      <w:r>
        <w:rPr>
          <w:rFonts w:hint="eastAsia" w:ascii="黑体" w:hAnsi="黑体" w:eastAsia="黑体" w:cs="Times New Roman"/>
          <w:color w:val="000000" w:themeColor="text1"/>
          <w:sz w:val="28"/>
          <w:szCs w:val="28"/>
          <w:highlight w:val="none"/>
          <w14:textFill>
            <w14:solidFill>
              <w14:schemeClr w14:val="tx1"/>
            </w14:solidFill>
          </w14:textFill>
        </w:rPr>
        <w:t>标准先进性体现</w:t>
      </w:r>
    </w:p>
    <w:p w14:paraId="787EA912">
      <w:pPr>
        <w:ind w:firstLine="560" w:firstLineChars="200"/>
        <w:rPr>
          <w:rFonts w:hint="default" w:ascii="宋体" w:hAnsi="宋体" w:eastAsia="宋体" w:cs="Times New Roman"/>
          <w:i w:val="0"/>
          <w:iCs/>
          <w:sz w:val="28"/>
          <w:szCs w:val="28"/>
          <w:highlight w:val="none"/>
          <w:lang w:val="en-US" w:eastAsia="zh-CN"/>
        </w:rPr>
      </w:pPr>
      <w:r>
        <w:rPr>
          <w:rFonts w:hint="eastAsia" w:ascii="宋体" w:hAnsi="宋体" w:eastAsia="宋体" w:cs="Times New Roman"/>
          <w:i w:val="0"/>
          <w:iCs/>
          <w:sz w:val="28"/>
          <w:szCs w:val="28"/>
          <w:highlight w:val="none"/>
          <w:lang w:val="en-US" w:eastAsia="zh-CN"/>
        </w:rPr>
        <w:t>我国目前在化妆品安全评估领域内，现行有效的标准，仅有上海市发布的一项地方标准 DB31/T 1472-2024《普通化妆品备案资料要求》，但该文件发布时间在“完整版安全评估报告”之前、且关于“化妆品安全评估”的内容仅适用于简化版安全评估工作，因此无法满足现阶段“完整版安全评估”技术需要。因此，本标准</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《国产普通化妆品安全评估资料技术要求》的制定和发布，将填补整个行业、国家在</w:t>
      </w:r>
      <w:r>
        <w:rPr>
          <w:rFonts w:hint="eastAsia" w:ascii="宋体" w:hAnsi="宋体" w:eastAsia="宋体" w:cs="Times New Roman"/>
          <w:i w:val="0"/>
          <w:iCs/>
          <w:sz w:val="28"/>
          <w:szCs w:val="28"/>
          <w:highlight w:val="none"/>
          <w:lang w:val="en-US" w:eastAsia="zh-CN"/>
        </w:rPr>
        <w:t>化妆品安全评估领域缺少标准的空白。</w:t>
      </w:r>
    </w:p>
    <w:p w14:paraId="67567C03">
      <w:pPr>
        <w:rPr>
          <w:rFonts w:hint="eastAsia" w:ascii="黑体" w:hAnsi="黑体" w:eastAsia="黑体" w:cs="Times New Roman"/>
          <w:color w:val="000000" w:themeColor="text1"/>
          <w:sz w:val="28"/>
          <w:szCs w:val="28"/>
          <w:highlight w:val="none"/>
          <w14:textFill>
            <w14:solidFill>
              <w14:schemeClr w14:val="tx1"/>
            </w14:solidFill>
          </w14:textFill>
        </w:rPr>
      </w:pPr>
      <w:r>
        <w:rPr>
          <w:rFonts w:hint="eastAsia" w:ascii="黑体" w:hAnsi="黑体" w:eastAsia="黑体" w:cs="Times New Roman"/>
          <w:color w:val="000000" w:themeColor="text1"/>
          <w:sz w:val="28"/>
          <w:szCs w:val="28"/>
          <w:highlight w:val="none"/>
          <w14:textFill>
            <w14:solidFill>
              <w14:schemeClr w14:val="tx1"/>
            </w14:solidFill>
          </w14:textFill>
        </w:rPr>
        <w:t>6</w:t>
      </w:r>
      <w:r>
        <w:rPr>
          <w:rFonts w:hint="eastAsia" w:ascii="黑体" w:hAnsi="黑体" w:eastAsia="黑体" w:cs="Times New Roman"/>
          <w:color w:val="000000" w:themeColor="text1"/>
          <w:sz w:val="28"/>
          <w:szCs w:val="28"/>
          <w:highlight w:val="none"/>
          <w:lang w:val="en-US" w:eastAsia="zh-CN"/>
          <w14:textFill>
            <w14:solidFill>
              <w14:schemeClr w14:val="tx1"/>
            </w14:solidFill>
          </w14:textFill>
        </w:rPr>
        <w:t xml:space="preserve">  </w:t>
      </w:r>
      <w:r>
        <w:rPr>
          <w:rFonts w:hint="eastAsia" w:ascii="黑体" w:hAnsi="黑体" w:eastAsia="黑体" w:cs="Times New Roman"/>
          <w:color w:val="000000" w:themeColor="text1"/>
          <w:sz w:val="28"/>
          <w:szCs w:val="28"/>
          <w:highlight w:val="none"/>
          <w14:textFill>
            <w14:solidFill>
              <w14:schemeClr w14:val="tx1"/>
            </w14:solidFill>
          </w14:textFill>
        </w:rPr>
        <w:t>与现行相关法律、法规、规章及相关标准的协调性</w:t>
      </w:r>
    </w:p>
    <w:p w14:paraId="7BE07F97">
      <w:pPr>
        <w:rPr>
          <w:rFonts w:hint="eastAsia" w:ascii="Times New Roman" w:hAnsi="Times New Roman" w:cs="Times New Roman"/>
          <w:b/>
          <w:bCs/>
          <w:color w:val="000000" w:themeColor="text1"/>
          <w:sz w:val="28"/>
          <w:szCs w:val="28"/>
          <w:highlight w:val="none"/>
          <w:lang w:eastAsia="zh-CN"/>
          <w14:textFill>
            <w14:solidFill>
              <w14:schemeClr w14:val="tx1"/>
            </w14:solidFill>
          </w14:textFill>
        </w:rPr>
      </w:pPr>
      <w:r>
        <w:rPr>
          <w:rFonts w:hint="eastAsia" w:ascii="Times New Roman" w:hAnsi="Times New Roman" w:cs="Times New Roman"/>
          <w:b/>
          <w:bCs/>
          <w:color w:val="000000" w:themeColor="text1"/>
          <w:sz w:val="28"/>
          <w:szCs w:val="28"/>
          <w:highlight w:val="none"/>
          <w14:textFill>
            <w14:solidFill>
              <w14:schemeClr w14:val="tx1"/>
            </w14:solidFill>
          </w14:textFill>
        </w:rPr>
        <w:t>6.1 目前国内执行的标准</w:t>
      </w:r>
      <w:r>
        <w:rPr>
          <w:rFonts w:hint="eastAsia" w:ascii="Times New Roman" w:hAnsi="Times New Roman" w:cs="Times New Roman"/>
          <w:b/>
          <w:bCs/>
          <w:color w:val="000000" w:themeColor="text1"/>
          <w:sz w:val="28"/>
          <w:szCs w:val="28"/>
          <w:highlight w:val="none"/>
          <w:lang w:eastAsia="zh-CN"/>
          <w14:textFill>
            <w14:solidFill>
              <w14:schemeClr w14:val="tx1"/>
            </w14:solidFill>
          </w14:textFill>
        </w:rPr>
        <w:t>：</w:t>
      </w:r>
    </w:p>
    <w:p w14:paraId="611923EB">
      <w:pPr>
        <w:ind w:firstLine="560" w:firstLineChars="200"/>
        <w:rPr>
          <w:rFonts w:hint="eastAsia" w:ascii="宋体" w:hAnsi="宋体" w:eastAsia="宋体" w:cs="Times New Roman"/>
          <w:color w:val="000000" w:themeColor="text1"/>
          <w:sz w:val="24"/>
          <w:szCs w:val="24"/>
          <w:highlight w:val="none"/>
          <w14:textFill>
            <w14:solidFill>
              <w14:schemeClr w14:val="tx1"/>
            </w14:solidFill>
          </w14:textFill>
        </w:rPr>
      </w:pP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涉及国产普通化妆品安全评估工作的现行相关法律、法规、规章及相关标准的文件有：《化妆品</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化妆品监督管理条例</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化妆品注册备案管理办法</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化妆品安全评估技术导则（2021年版）</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化妆品注册备案资料管理规定</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儿童化妆品技术指导原则</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化妆品安全评估资料提交指南</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化妆品原料数据使用指南</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毒理学关注阈值（TTC）方法应用技术指南</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交叉参照（Read-across）方法应用技术指南</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化妆品注册和备案检验工作规范</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儿童化妆品监督管理规定</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已使用化妆品原料目录</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化妆品安全技术规范</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已上市产品原料使用信息</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》和</w:t>
      </w:r>
      <w:r>
        <w:rPr>
          <w:rFonts w:hint="default" w:ascii="Times New Roman" w:hAnsi="Times New Roman" w:cs="Times New Roman"/>
          <w:color w:val="000000" w:themeColor="text1"/>
          <w:sz w:val="28"/>
          <w:szCs w:val="28"/>
          <w:highlight w:val="none"/>
          <w:lang w:val="en-US" w:eastAsia="zh-CN"/>
          <w14:textFill>
            <w14:solidFill>
              <w14:schemeClr w14:val="tx1"/>
            </w14:solidFill>
          </w14:textFill>
        </w:rPr>
        <w:t>《国际化妆品安全评估数据索引》收录的部分原料使用信息</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等。</w:t>
      </w:r>
    </w:p>
    <w:p w14:paraId="0021857A">
      <w:pPr>
        <w:rPr>
          <w:rFonts w:ascii="Times New Roman" w:hAnsi="Times New Roman" w:cs="Times New Roman"/>
          <w:b/>
          <w:bCs/>
          <w:color w:val="000000" w:themeColor="text1"/>
          <w:sz w:val="28"/>
          <w:szCs w:val="28"/>
          <w:highlight w:val="none"/>
          <w14:textFill>
            <w14:solidFill>
              <w14:schemeClr w14:val="tx1"/>
            </w14:solidFill>
          </w14:textFill>
        </w:rPr>
      </w:pPr>
      <w:r>
        <w:rPr>
          <w:rFonts w:hint="eastAsia" w:ascii="Times New Roman" w:hAnsi="Times New Roman" w:cs="Times New Roman"/>
          <w:b/>
          <w:bCs/>
          <w:color w:val="000000" w:themeColor="text1"/>
          <w:sz w:val="28"/>
          <w:szCs w:val="28"/>
          <w:highlight w:val="none"/>
          <w14:textFill>
            <w14:solidFill>
              <w14:schemeClr w14:val="tx1"/>
            </w14:solidFill>
          </w14:textFill>
        </w:rPr>
        <w:t>6.2 标准协调性</w:t>
      </w:r>
    </w:p>
    <w:p w14:paraId="2020C98C">
      <w:pPr>
        <w:ind w:firstLine="560" w:firstLineChars="200"/>
        <w:rPr>
          <w:rFonts w:hint="eastAsia" w:ascii="宋体" w:hAnsi="宋体" w:eastAsia="宋体" w:cs="Times New Roman"/>
          <w:i w:val="0"/>
          <w:iCs/>
          <w:sz w:val="28"/>
          <w:szCs w:val="28"/>
          <w:highlight w:val="none"/>
          <w:lang w:val="en-US" w:eastAsia="zh-CN"/>
        </w:rPr>
      </w:pPr>
      <w:r>
        <w:rPr>
          <w:rFonts w:hint="eastAsia" w:ascii="宋体" w:hAnsi="宋体" w:eastAsia="宋体" w:cs="Times New Roman"/>
          <w:i w:val="0"/>
          <w:iCs/>
          <w:sz w:val="28"/>
          <w:szCs w:val="28"/>
          <w:highlight w:val="none"/>
          <w:lang w:val="en-US" w:eastAsia="zh-CN"/>
        </w:rPr>
        <w:t>本文件对上述现行相关法律、法规、规章及相关标准中有关国产普通化妆品安全评估的技术要求的部分进行引用或参考，并以此为标准化工作的基础，结合实际工作、企业反馈和主管部门审批/审查意见等方面进行起草，因此文件与上述现行相关法律、法规、规章及相关标准中技术要求协调一致。</w:t>
      </w:r>
    </w:p>
    <w:p w14:paraId="61EF843F">
      <w:pPr>
        <w:ind w:firstLine="560" w:firstLineChars="200"/>
        <w:rPr>
          <w:rFonts w:hint="eastAsia" w:ascii="宋体" w:hAnsi="宋体" w:eastAsia="宋体" w:cs="Times New Roman"/>
          <w:i w:val="0"/>
          <w:iCs/>
          <w:sz w:val="28"/>
          <w:szCs w:val="28"/>
          <w:highlight w:val="none"/>
          <w:lang w:val="en-US" w:eastAsia="zh-CN"/>
        </w:rPr>
      </w:pPr>
    </w:p>
    <w:p w14:paraId="23C6790F">
      <w:pPr>
        <w:rPr>
          <w:rFonts w:hint="eastAsia" w:ascii="黑体" w:hAnsi="黑体" w:eastAsia="黑体" w:cs="Times New Roman"/>
          <w:color w:val="000000" w:themeColor="text1"/>
          <w:sz w:val="28"/>
          <w:szCs w:val="28"/>
          <w:highlight w:val="none"/>
          <w14:textFill>
            <w14:solidFill>
              <w14:schemeClr w14:val="tx1"/>
            </w14:solidFill>
          </w14:textFill>
        </w:rPr>
      </w:pPr>
      <w:r>
        <w:rPr>
          <w:rFonts w:hint="eastAsia" w:ascii="黑体" w:hAnsi="黑体" w:eastAsia="黑体" w:cs="Times New Roman"/>
          <w:color w:val="000000" w:themeColor="text1"/>
          <w:sz w:val="28"/>
          <w:szCs w:val="28"/>
          <w:highlight w:val="none"/>
          <w14:textFill>
            <w14:solidFill>
              <w14:schemeClr w14:val="tx1"/>
            </w14:solidFill>
          </w14:textFill>
        </w:rPr>
        <w:t>7</w:t>
      </w:r>
      <w:r>
        <w:rPr>
          <w:rFonts w:hint="eastAsia" w:ascii="黑体" w:hAnsi="黑体" w:eastAsia="黑体" w:cs="Times New Roman"/>
          <w:color w:val="000000" w:themeColor="text1"/>
          <w:sz w:val="28"/>
          <w:szCs w:val="28"/>
          <w:highlight w:val="none"/>
          <w:lang w:val="en-US" w:eastAsia="zh-CN"/>
          <w14:textFill>
            <w14:solidFill>
              <w14:schemeClr w14:val="tx1"/>
            </w14:solidFill>
          </w14:textFill>
        </w:rPr>
        <w:t xml:space="preserve">  </w:t>
      </w:r>
      <w:r>
        <w:rPr>
          <w:rFonts w:hint="eastAsia" w:ascii="黑体" w:hAnsi="黑体" w:eastAsia="黑体" w:cs="Times New Roman"/>
          <w:color w:val="000000" w:themeColor="text1"/>
          <w:sz w:val="28"/>
          <w:szCs w:val="28"/>
          <w:highlight w:val="none"/>
          <w14:textFill>
            <w14:solidFill>
              <w14:schemeClr w14:val="tx1"/>
            </w14:solidFill>
          </w14:textFill>
        </w:rPr>
        <w:t>社会和经济效益</w:t>
      </w:r>
    </w:p>
    <w:p w14:paraId="5030244E">
      <w:pPr>
        <w:ind w:firstLine="562" w:firstLineChars="200"/>
        <w:rPr>
          <w:rFonts w:hint="default" w:ascii="宋体" w:hAnsi="宋体" w:eastAsia="宋体" w:cs="Times New Roman"/>
          <w:i w:val="0"/>
          <w:iCs/>
          <w:sz w:val="28"/>
          <w:szCs w:val="28"/>
          <w:highlight w:val="none"/>
          <w:lang w:val="en-US" w:eastAsia="zh-CN"/>
        </w:rPr>
      </w:pPr>
      <w:r>
        <w:rPr>
          <w:rFonts w:hint="eastAsia" w:ascii="宋体" w:hAnsi="宋体" w:eastAsia="宋体" w:cs="Times New Roman"/>
          <w:b/>
          <w:bCs/>
          <w:i w:val="0"/>
          <w:iCs/>
          <w:sz w:val="28"/>
          <w:szCs w:val="28"/>
          <w:highlight w:val="none"/>
          <w:lang w:val="en-US" w:eastAsia="zh-CN"/>
        </w:rPr>
        <w:t>社会效益：</w:t>
      </w:r>
      <w:r>
        <w:rPr>
          <w:rFonts w:hint="eastAsia" w:ascii="宋体" w:hAnsi="宋体" w:eastAsia="宋体" w:cs="Times New Roman"/>
          <w:i w:val="0"/>
          <w:iCs/>
          <w:sz w:val="28"/>
          <w:szCs w:val="28"/>
          <w:highlight w:val="none"/>
          <w:lang w:val="en-US" w:eastAsia="zh-CN"/>
        </w:rPr>
        <w:t>本文件的发布将为整个化妆品安全评估行业明确完成完整版安全评估所需的全部技术要求，促进行业按照上级主管部门的要求，共同提升从业人员专业水平、提升整体评估质量，通过更好地开展化妆品安全评估工作，促进化妆品行业高质量发展、维护百姓用妆安全。</w:t>
      </w:r>
    </w:p>
    <w:p w14:paraId="4B537328">
      <w:pPr>
        <w:ind w:firstLine="562" w:firstLineChars="200"/>
        <w:rPr>
          <w:rFonts w:hint="eastAsia" w:ascii="宋体" w:hAnsi="宋体" w:eastAsia="宋体" w:cs="Times New Roman"/>
          <w:i w:val="0"/>
          <w:iCs/>
          <w:sz w:val="28"/>
          <w:szCs w:val="28"/>
          <w:highlight w:val="none"/>
          <w:lang w:val="en-US" w:eastAsia="zh-CN"/>
        </w:rPr>
      </w:pPr>
      <w:r>
        <w:rPr>
          <w:rFonts w:hint="eastAsia" w:ascii="宋体" w:hAnsi="宋体" w:eastAsia="宋体" w:cs="Times New Roman"/>
          <w:b/>
          <w:bCs/>
          <w:i w:val="0"/>
          <w:iCs/>
          <w:sz w:val="28"/>
          <w:szCs w:val="28"/>
          <w:highlight w:val="none"/>
          <w:lang w:val="en-US" w:eastAsia="zh-CN"/>
        </w:rPr>
        <w:t>经济效益：</w:t>
      </w:r>
      <w:r>
        <w:rPr>
          <w:rFonts w:hint="eastAsia" w:ascii="宋体" w:hAnsi="宋体" w:eastAsia="宋体" w:cs="Times New Roman"/>
          <w:i w:val="0"/>
          <w:iCs/>
          <w:sz w:val="28"/>
          <w:szCs w:val="28"/>
          <w:highlight w:val="none"/>
          <w:lang w:val="en-US" w:eastAsia="zh-CN"/>
        </w:rPr>
        <w:t>本文件以至少14项与完整版安全评估相关的现行相关法律、法规、规章及相关标准为基础制定，将有效解决整个化妆品行业因文件零散、缺失或遗漏导致的评估存在</w:t>
      </w:r>
      <w:r>
        <w:rPr>
          <w:rFonts w:hint="eastAsia" w:ascii="Times New Roman" w:hAnsi="Times New Roman" w:cs="Times New Roman"/>
          <w:color w:val="000000" w:themeColor="text1"/>
          <w:sz w:val="28"/>
          <w:szCs w:val="28"/>
          <w:highlight w:val="none"/>
          <w:lang w:val="en-US" w:eastAsia="zh-CN"/>
          <w14:textFill>
            <w14:solidFill>
              <w14:schemeClr w14:val="tx1"/>
            </w14:solidFill>
          </w14:textFill>
        </w:rPr>
        <w:t>完整性、合规性、科学性不足的问题；并通过</w:t>
      </w:r>
      <w:r>
        <w:rPr>
          <w:rFonts w:hint="eastAsia" w:ascii="宋体" w:hAnsi="宋体" w:eastAsia="宋体" w:cs="Times New Roman"/>
          <w:i w:val="0"/>
          <w:iCs/>
          <w:sz w:val="28"/>
          <w:szCs w:val="28"/>
          <w:highlight w:val="none"/>
          <w:lang w:val="en-US" w:eastAsia="zh-CN"/>
        </w:rPr>
        <w:t>规范和优化化妆品安全评估技术路线，旨在帮助化妆品公司提高备案通过率，以节约企业时间和运营成本，促进化妆品行业统一大市场建设。</w:t>
      </w:r>
    </w:p>
    <w:p w14:paraId="7C502DAB">
      <w:pPr>
        <w:rPr>
          <w:rFonts w:hint="eastAsia" w:ascii="宋体" w:hAnsi="宋体" w:eastAsia="宋体" w:cs="Times New Roman"/>
          <w:color w:val="000000" w:themeColor="text1"/>
          <w:sz w:val="24"/>
          <w:szCs w:val="24"/>
          <w:highlight w:val="none"/>
          <w14:textFill>
            <w14:solidFill>
              <w14:schemeClr w14:val="tx1"/>
            </w14:solidFill>
          </w14:textFill>
        </w:rPr>
      </w:pPr>
      <w:r>
        <w:rPr>
          <w:rFonts w:hint="eastAsia" w:ascii="黑体" w:hAnsi="黑体" w:eastAsia="黑体" w:cs="Times New Roman"/>
          <w:color w:val="000000" w:themeColor="text1"/>
          <w:sz w:val="28"/>
          <w:szCs w:val="28"/>
          <w:highlight w:val="none"/>
          <w14:textFill>
            <w14:solidFill>
              <w14:schemeClr w14:val="tx1"/>
            </w14:solidFill>
          </w14:textFill>
        </w:rPr>
        <w:t xml:space="preserve">8 </w:t>
      </w:r>
      <w:r>
        <w:rPr>
          <w:rFonts w:hint="eastAsia" w:ascii="黑体" w:hAnsi="黑体" w:eastAsia="黑体" w:cs="Times New Roman"/>
          <w:color w:val="000000" w:themeColor="text1"/>
          <w:sz w:val="28"/>
          <w:szCs w:val="28"/>
          <w:highlight w:val="none"/>
          <w:lang w:val="en-US" w:eastAsia="zh-CN"/>
          <w14:textFill>
            <w14:solidFill>
              <w14:schemeClr w14:val="tx1"/>
            </w14:solidFill>
          </w14:textFill>
        </w:rPr>
        <w:t xml:space="preserve"> </w:t>
      </w:r>
      <w:r>
        <w:rPr>
          <w:rFonts w:hint="eastAsia" w:ascii="黑体" w:hAnsi="黑体" w:eastAsia="黑体" w:cs="Times New Roman"/>
          <w:color w:val="000000" w:themeColor="text1"/>
          <w:sz w:val="28"/>
          <w:szCs w:val="28"/>
          <w:highlight w:val="none"/>
          <w14:textFill>
            <w14:solidFill>
              <w14:schemeClr w14:val="tx1"/>
            </w14:solidFill>
          </w14:textFill>
        </w:rPr>
        <w:t>重大分歧意见的处理经过和依据</w:t>
      </w:r>
    </w:p>
    <w:p w14:paraId="7A1E35D3">
      <w:pPr>
        <w:ind w:firstLine="560" w:firstLineChars="200"/>
        <w:rPr>
          <w:rFonts w:hint="default" w:ascii="宋体" w:hAnsi="宋体" w:eastAsia="宋体" w:cs="Times New Roman"/>
          <w:i w:val="0"/>
          <w:iCs/>
          <w:sz w:val="28"/>
          <w:szCs w:val="28"/>
          <w:highlight w:val="none"/>
          <w:lang w:val="en-US" w:eastAsia="zh-CN"/>
        </w:rPr>
      </w:pPr>
      <w:r>
        <w:rPr>
          <w:rFonts w:hint="eastAsia" w:ascii="宋体" w:hAnsi="宋体" w:eastAsia="宋体" w:cs="Times New Roman"/>
          <w:i w:val="0"/>
          <w:iCs/>
          <w:sz w:val="28"/>
          <w:szCs w:val="28"/>
          <w:highlight w:val="none"/>
          <w:lang w:val="en-US" w:eastAsia="zh-CN"/>
        </w:rPr>
        <w:t>本标准遵循了各方参与原则，制定时充分吸收了相关领域专家的意见和建议，无重大分歧。</w:t>
      </w:r>
    </w:p>
    <w:p w14:paraId="30F49BEE">
      <w:pPr>
        <w:rPr>
          <w:rFonts w:hint="eastAsia" w:ascii="黑体" w:hAnsi="黑体" w:eastAsia="黑体" w:cs="Times New Roman"/>
          <w:color w:val="000000" w:themeColor="text1"/>
          <w:sz w:val="28"/>
          <w:szCs w:val="28"/>
          <w:highlight w:val="none"/>
          <w14:textFill>
            <w14:solidFill>
              <w14:schemeClr w14:val="tx1"/>
            </w14:solidFill>
          </w14:textFill>
        </w:rPr>
      </w:pPr>
      <w:r>
        <w:rPr>
          <w:rFonts w:hint="eastAsia" w:ascii="黑体" w:hAnsi="黑体" w:eastAsia="黑体" w:cs="Times New Roman"/>
          <w:color w:val="000000" w:themeColor="text1"/>
          <w:sz w:val="28"/>
          <w:szCs w:val="28"/>
          <w:highlight w:val="none"/>
          <w14:textFill>
            <w14:solidFill>
              <w14:schemeClr w14:val="tx1"/>
            </w14:solidFill>
          </w14:textFill>
        </w:rPr>
        <w:t xml:space="preserve">9 </w:t>
      </w:r>
      <w:r>
        <w:rPr>
          <w:rFonts w:hint="eastAsia" w:ascii="黑体" w:hAnsi="黑体" w:eastAsia="黑体" w:cs="Times New Roman"/>
          <w:color w:val="000000" w:themeColor="text1"/>
          <w:sz w:val="28"/>
          <w:szCs w:val="28"/>
          <w:highlight w:val="none"/>
          <w:lang w:val="en-US" w:eastAsia="zh-CN"/>
          <w14:textFill>
            <w14:solidFill>
              <w14:schemeClr w14:val="tx1"/>
            </w14:solidFill>
          </w14:textFill>
        </w:rPr>
        <w:t xml:space="preserve"> </w:t>
      </w:r>
      <w:r>
        <w:rPr>
          <w:rFonts w:hint="eastAsia" w:ascii="黑体" w:hAnsi="黑体" w:eastAsia="黑体" w:cs="Times New Roman"/>
          <w:color w:val="000000" w:themeColor="text1"/>
          <w:sz w:val="28"/>
          <w:szCs w:val="28"/>
          <w:highlight w:val="none"/>
          <w14:textFill>
            <w14:solidFill>
              <w14:schemeClr w14:val="tx1"/>
            </w14:solidFill>
          </w14:textFill>
        </w:rPr>
        <w:t>贯彻标准的要求和措施建议</w:t>
      </w:r>
    </w:p>
    <w:p w14:paraId="58C92716">
      <w:pPr>
        <w:ind w:firstLine="560" w:firstLineChars="200"/>
        <w:rPr>
          <w:rFonts w:hint="default" w:ascii="宋体" w:hAnsi="宋体" w:eastAsia="宋体" w:cs="Times New Roman"/>
          <w:i w:val="0"/>
          <w:iCs/>
          <w:sz w:val="28"/>
          <w:szCs w:val="28"/>
          <w:highlight w:val="none"/>
          <w:lang w:val="en-US" w:eastAsia="zh-CN"/>
        </w:rPr>
      </w:pPr>
      <w:r>
        <w:rPr>
          <w:rFonts w:hint="eastAsia" w:ascii="宋体" w:hAnsi="宋体" w:eastAsia="宋体" w:cs="Times New Roman"/>
          <w:i w:val="0"/>
          <w:iCs/>
          <w:sz w:val="28"/>
          <w:szCs w:val="28"/>
          <w:highlight w:val="none"/>
          <w:lang w:val="en-US" w:eastAsia="zh-CN"/>
        </w:rPr>
        <w:t>建议自发布起实施，通过贯彻本标准，可规范化妆品安全评估的同行机构及从业人员按照本标准开展化妆品安全评估工作，也可指导化妆品企业自行开展或选择合规的机构进行安全评估工作，更可以协助主管部门顺利开展化妆品备案后监管工作。</w:t>
      </w:r>
    </w:p>
    <w:p w14:paraId="5B627BEB">
      <w:pPr>
        <w:rPr>
          <w:rFonts w:hint="eastAsia" w:ascii="黑体" w:hAnsi="黑体" w:eastAsia="黑体" w:cs="Times New Roman"/>
          <w:color w:val="000000" w:themeColor="text1"/>
          <w:sz w:val="28"/>
          <w:szCs w:val="28"/>
          <w:highlight w:val="none"/>
          <w14:textFill>
            <w14:solidFill>
              <w14:schemeClr w14:val="tx1"/>
            </w14:solidFill>
          </w14:textFill>
        </w:rPr>
      </w:pPr>
      <w:r>
        <w:rPr>
          <w:rFonts w:hint="eastAsia" w:ascii="黑体" w:hAnsi="黑体" w:eastAsia="黑体" w:cs="Times New Roman"/>
          <w:color w:val="000000" w:themeColor="text1"/>
          <w:sz w:val="28"/>
          <w:szCs w:val="28"/>
          <w:highlight w:val="none"/>
          <w14:textFill>
            <w14:solidFill>
              <w14:schemeClr w14:val="tx1"/>
            </w14:solidFill>
          </w14:textFill>
        </w:rPr>
        <w:t xml:space="preserve">10 </w:t>
      </w:r>
      <w:r>
        <w:rPr>
          <w:rFonts w:hint="eastAsia" w:ascii="黑体" w:hAnsi="黑体" w:eastAsia="黑体" w:cs="Times New Roman"/>
          <w:color w:val="000000" w:themeColor="text1"/>
          <w:sz w:val="28"/>
          <w:szCs w:val="28"/>
          <w:highlight w:val="none"/>
          <w:lang w:val="en-US" w:eastAsia="zh-CN"/>
          <w14:textFill>
            <w14:solidFill>
              <w14:schemeClr w14:val="tx1"/>
            </w14:solidFill>
          </w14:textFill>
        </w:rPr>
        <w:t xml:space="preserve"> </w:t>
      </w:r>
      <w:r>
        <w:rPr>
          <w:rFonts w:hint="eastAsia" w:ascii="黑体" w:hAnsi="黑体" w:eastAsia="黑体" w:cs="Times New Roman"/>
          <w:color w:val="000000" w:themeColor="text1"/>
          <w:sz w:val="28"/>
          <w:szCs w:val="28"/>
          <w:highlight w:val="none"/>
          <w14:textFill>
            <w14:solidFill>
              <w14:schemeClr w14:val="tx1"/>
            </w14:solidFill>
          </w14:textFill>
        </w:rPr>
        <w:t>其他应予说明的事项</w:t>
      </w:r>
    </w:p>
    <w:p w14:paraId="7A7AFCAA">
      <w:pPr>
        <w:ind w:firstLine="560" w:firstLineChars="200"/>
        <w:rPr>
          <w:rFonts w:hint="eastAsia" w:ascii="宋体" w:hAnsi="宋体" w:eastAsia="宋体" w:cs="Times New Roman"/>
          <w:i w:val="0"/>
          <w:iCs/>
          <w:sz w:val="28"/>
          <w:szCs w:val="28"/>
          <w:highlight w:val="none"/>
          <w:lang w:val="en-US" w:eastAsia="zh-CN"/>
        </w:rPr>
      </w:pPr>
      <w:r>
        <w:rPr>
          <w:rFonts w:hint="eastAsia" w:ascii="宋体" w:hAnsi="宋体" w:eastAsia="宋体" w:cs="Times New Roman"/>
          <w:i w:val="0"/>
          <w:iCs/>
          <w:sz w:val="28"/>
          <w:szCs w:val="28"/>
          <w:highlight w:val="none"/>
          <w:lang w:val="en-US" w:eastAsia="zh-CN"/>
        </w:rPr>
        <w:t>无。</w:t>
      </w:r>
    </w:p>
    <w:p w14:paraId="48A8A39F">
      <w:pPr>
        <w:ind w:firstLine="560" w:firstLineChars="200"/>
        <w:jc w:val="right"/>
        <w:rPr>
          <w:rFonts w:hint="eastAsia" w:ascii="宋体" w:hAnsi="宋体" w:eastAsia="宋体" w:cs="Times New Roman"/>
          <w:i w:val="0"/>
          <w:iCs/>
          <w:sz w:val="28"/>
          <w:szCs w:val="28"/>
          <w:highlight w:val="none"/>
          <w:lang w:val="en-US" w:eastAsia="zh-CN"/>
        </w:rPr>
      </w:pPr>
      <w:r>
        <w:rPr>
          <w:rFonts w:hint="eastAsia" w:ascii="宋体" w:hAnsi="宋体" w:eastAsia="宋体" w:cs="Times New Roman"/>
          <w:i w:val="0"/>
          <w:iCs/>
          <w:sz w:val="28"/>
          <w:szCs w:val="28"/>
          <w:highlight w:val="none"/>
          <w:lang w:val="en-US" w:eastAsia="zh-CN"/>
        </w:rPr>
        <w:t>《国产普通化妆品安全评估资料技术要求》标准工作组</w:t>
      </w:r>
    </w:p>
    <w:p w14:paraId="43432487">
      <w:pPr>
        <w:ind w:firstLine="560" w:firstLineChars="200"/>
        <w:jc w:val="right"/>
        <w:rPr>
          <w:rFonts w:hint="default" w:ascii="宋体" w:hAnsi="宋体" w:eastAsia="宋体" w:cs="Times New Roman"/>
          <w:i w:val="0"/>
          <w:iCs/>
          <w:sz w:val="28"/>
          <w:szCs w:val="28"/>
          <w:highlight w:val="none"/>
          <w:lang w:val="en-US" w:eastAsia="zh-CN"/>
        </w:rPr>
      </w:pPr>
      <w:r>
        <w:rPr>
          <w:rFonts w:hint="eastAsia" w:ascii="宋体" w:hAnsi="宋体" w:eastAsia="宋体" w:cs="Times New Roman"/>
          <w:i w:val="0"/>
          <w:iCs/>
          <w:sz w:val="28"/>
          <w:szCs w:val="28"/>
          <w:highlight w:val="none"/>
          <w:lang w:val="en-US" w:eastAsia="zh-CN"/>
        </w:rPr>
        <w:t>2026年1月22日</w:t>
      </w:r>
    </w:p>
    <w:p w14:paraId="62731D79">
      <w:pPr>
        <w:ind w:firstLine="560" w:firstLineChars="200"/>
        <w:rPr>
          <w:rFonts w:hint="default" w:ascii="宋体" w:hAnsi="宋体" w:eastAsia="宋体" w:cs="Times New Roman"/>
          <w:i w:val="0"/>
          <w:iCs/>
          <w:sz w:val="28"/>
          <w:szCs w:val="28"/>
          <w:highlight w:val="none"/>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4183405"/>
    </w:sdtPr>
    <w:sdtContent>
      <w:p w14:paraId="03A4C8FB">
        <w:pPr>
          <w:pStyle w:val="3"/>
          <w:jc w:val="center"/>
        </w:pPr>
        <w:r>
          <w:fldChar w:fldCharType="begin"/>
        </w:r>
        <w:r>
          <w:instrText xml:space="preserve">PAGE   \* MERGEFORMAT</w:instrText>
        </w:r>
        <w:r>
          <w:fldChar w:fldCharType="separate"/>
        </w:r>
        <w:r>
          <w:rPr>
            <w:lang w:val="zh-CN"/>
          </w:rPr>
          <w:t>10</w:t>
        </w:r>
        <w:r>
          <w:fldChar w:fldCharType="end"/>
        </w:r>
      </w:p>
    </w:sdtContent>
  </w:sdt>
  <w:p w14:paraId="63BF0240">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26"/>
      <w:suff w:val="nothing"/>
      <w:lvlText w:val="%1"/>
      <w:lvlJc w:val="left"/>
      <w:pPr>
        <w:ind w:left="0" w:firstLine="0"/>
      </w:pPr>
      <w:rPr>
        <w:rFonts w:hint="eastAsia"/>
      </w:rPr>
    </w:lvl>
    <w:lvl w:ilvl="1" w:tentative="0">
      <w:start w:val="1"/>
      <w:numFmt w:val="decimal"/>
      <w:pStyle w:val="23"/>
      <w:suff w:val="nothing"/>
      <w:lvlText w:val="%1%2　"/>
      <w:lvlJc w:val="left"/>
      <w:pPr>
        <w:ind w:left="0" w:firstLine="0"/>
      </w:pPr>
      <w:rPr>
        <w:rFonts w:hint="eastAsia" w:ascii="黑体" w:eastAsia="黑体"/>
        <w:b w:val="0"/>
        <w:i w:val="0"/>
        <w:sz w:val="21"/>
      </w:rPr>
    </w:lvl>
    <w:lvl w:ilvl="2" w:tentative="0">
      <w:start w:val="1"/>
      <w:numFmt w:val="decimal"/>
      <w:pStyle w:val="2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9"/>
      <w:suff w:val="nothing"/>
      <w:lvlText w:val="%1%2.%3.%4　"/>
      <w:lvlJc w:val="left"/>
      <w:pPr>
        <w:ind w:left="0" w:firstLine="0"/>
      </w:pPr>
      <w:rPr>
        <w:rFonts w:hint="eastAsia" w:ascii="黑体" w:eastAsia="黑体"/>
        <w:b w:val="0"/>
        <w:i w:val="0"/>
        <w:sz w:val="21"/>
      </w:rPr>
    </w:lvl>
    <w:lvl w:ilvl="4" w:tentative="0">
      <w:start w:val="1"/>
      <w:numFmt w:val="decimal"/>
      <w:pStyle w:val="20"/>
      <w:suff w:val="nothing"/>
      <w:lvlText w:val="%1%2.%3.%4.%5　"/>
      <w:lvlJc w:val="left"/>
      <w:pPr>
        <w:ind w:left="142" w:firstLine="0"/>
      </w:pPr>
      <w:rPr>
        <w:rFonts w:hint="eastAsia" w:ascii="黑体" w:eastAsia="黑体"/>
        <w:b w:val="0"/>
        <w:i w:val="0"/>
        <w:sz w:val="21"/>
      </w:rPr>
    </w:lvl>
    <w:lvl w:ilvl="5" w:tentative="0">
      <w:start w:val="1"/>
      <w:numFmt w:val="decimal"/>
      <w:pStyle w:val="21"/>
      <w:suff w:val="nothing"/>
      <w:lvlText w:val="%1%2.%3.%4.%5.%6　"/>
      <w:lvlJc w:val="left"/>
      <w:pPr>
        <w:ind w:left="0" w:firstLine="0"/>
      </w:pPr>
      <w:rPr>
        <w:rFonts w:hint="eastAsia" w:ascii="黑体" w:eastAsia="黑体"/>
        <w:b w:val="0"/>
        <w:i w:val="0"/>
        <w:sz w:val="21"/>
      </w:rPr>
    </w:lvl>
    <w:lvl w:ilvl="6" w:tentative="0">
      <w:start w:val="1"/>
      <w:numFmt w:val="decimal"/>
      <w:pStyle w:val="2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DF1"/>
    <w:rsid w:val="0000311C"/>
    <w:rsid w:val="00025D34"/>
    <w:rsid w:val="00034007"/>
    <w:rsid w:val="000456EC"/>
    <w:rsid w:val="000637B9"/>
    <w:rsid w:val="00065A63"/>
    <w:rsid w:val="000666A7"/>
    <w:rsid w:val="00072172"/>
    <w:rsid w:val="00072BB4"/>
    <w:rsid w:val="0008244F"/>
    <w:rsid w:val="0008597C"/>
    <w:rsid w:val="000925C3"/>
    <w:rsid w:val="000A0CC7"/>
    <w:rsid w:val="000A20E7"/>
    <w:rsid w:val="000B037F"/>
    <w:rsid w:val="000C5D84"/>
    <w:rsid w:val="000E282B"/>
    <w:rsid w:val="000E3A02"/>
    <w:rsid w:val="000E452F"/>
    <w:rsid w:val="000F6ACF"/>
    <w:rsid w:val="0011551A"/>
    <w:rsid w:val="001216D1"/>
    <w:rsid w:val="001367F8"/>
    <w:rsid w:val="00140556"/>
    <w:rsid w:val="00144563"/>
    <w:rsid w:val="001451F4"/>
    <w:rsid w:val="001471E3"/>
    <w:rsid w:val="00153121"/>
    <w:rsid w:val="00156CF9"/>
    <w:rsid w:val="00157572"/>
    <w:rsid w:val="001651BC"/>
    <w:rsid w:val="001774BD"/>
    <w:rsid w:val="001806B8"/>
    <w:rsid w:val="001822A9"/>
    <w:rsid w:val="00195DE7"/>
    <w:rsid w:val="001A4B11"/>
    <w:rsid w:val="001B33EC"/>
    <w:rsid w:val="001B710B"/>
    <w:rsid w:val="001C00D4"/>
    <w:rsid w:val="001C0263"/>
    <w:rsid w:val="001C3861"/>
    <w:rsid w:val="001D63DF"/>
    <w:rsid w:val="001E4E0F"/>
    <w:rsid w:val="001F50C8"/>
    <w:rsid w:val="002022F3"/>
    <w:rsid w:val="00206A0C"/>
    <w:rsid w:val="002102AB"/>
    <w:rsid w:val="00213286"/>
    <w:rsid w:val="00221B26"/>
    <w:rsid w:val="0023372D"/>
    <w:rsid w:val="00234066"/>
    <w:rsid w:val="00240E71"/>
    <w:rsid w:val="00251D6E"/>
    <w:rsid w:val="00255582"/>
    <w:rsid w:val="0026699D"/>
    <w:rsid w:val="0027605B"/>
    <w:rsid w:val="0027694B"/>
    <w:rsid w:val="0027783A"/>
    <w:rsid w:val="002778B2"/>
    <w:rsid w:val="00280226"/>
    <w:rsid w:val="002841AB"/>
    <w:rsid w:val="0028504D"/>
    <w:rsid w:val="002A6B83"/>
    <w:rsid w:val="002C64DD"/>
    <w:rsid w:val="002D1288"/>
    <w:rsid w:val="002D2E51"/>
    <w:rsid w:val="002D4253"/>
    <w:rsid w:val="002D47D8"/>
    <w:rsid w:val="002E176E"/>
    <w:rsid w:val="002E1A1F"/>
    <w:rsid w:val="002E4372"/>
    <w:rsid w:val="002E4DF1"/>
    <w:rsid w:val="002E6A55"/>
    <w:rsid w:val="002F68AF"/>
    <w:rsid w:val="002F7A31"/>
    <w:rsid w:val="003004E1"/>
    <w:rsid w:val="00306644"/>
    <w:rsid w:val="00310337"/>
    <w:rsid w:val="003103C9"/>
    <w:rsid w:val="0032377F"/>
    <w:rsid w:val="003266F4"/>
    <w:rsid w:val="0033348A"/>
    <w:rsid w:val="0034329C"/>
    <w:rsid w:val="003456BB"/>
    <w:rsid w:val="003639EC"/>
    <w:rsid w:val="00367E07"/>
    <w:rsid w:val="00381A58"/>
    <w:rsid w:val="00384D48"/>
    <w:rsid w:val="003E26A7"/>
    <w:rsid w:val="003E4586"/>
    <w:rsid w:val="003F30FC"/>
    <w:rsid w:val="00402B84"/>
    <w:rsid w:val="00403B7D"/>
    <w:rsid w:val="00411BF5"/>
    <w:rsid w:val="00417F13"/>
    <w:rsid w:val="00426196"/>
    <w:rsid w:val="00430AE8"/>
    <w:rsid w:val="00433026"/>
    <w:rsid w:val="0045015C"/>
    <w:rsid w:val="00452965"/>
    <w:rsid w:val="00457432"/>
    <w:rsid w:val="00461953"/>
    <w:rsid w:val="004652AA"/>
    <w:rsid w:val="00471263"/>
    <w:rsid w:val="00473112"/>
    <w:rsid w:val="00475250"/>
    <w:rsid w:val="00476CA9"/>
    <w:rsid w:val="004834C0"/>
    <w:rsid w:val="004B0E69"/>
    <w:rsid w:val="004B770B"/>
    <w:rsid w:val="004B7829"/>
    <w:rsid w:val="004C7709"/>
    <w:rsid w:val="004D3CBC"/>
    <w:rsid w:val="004F14D9"/>
    <w:rsid w:val="004F2549"/>
    <w:rsid w:val="004F284E"/>
    <w:rsid w:val="004F79E2"/>
    <w:rsid w:val="00511E21"/>
    <w:rsid w:val="00537A58"/>
    <w:rsid w:val="00551049"/>
    <w:rsid w:val="005722C4"/>
    <w:rsid w:val="00573044"/>
    <w:rsid w:val="00592D64"/>
    <w:rsid w:val="005A3EF5"/>
    <w:rsid w:val="005B0943"/>
    <w:rsid w:val="005B4C5D"/>
    <w:rsid w:val="005C325C"/>
    <w:rsid w:val="005C4CBE"/>
    <w:rsid w:val="005D07C6"/>
    <w:rsid w:val="005D5C85"/>
    <w:rsid w:val="005D7D43"/>
    <w:rsid w:val="005E08AB"/>
    <w:rsid w:val="005E5DE5"/>
    <w:rsid w:val="005E795C"/>
    <w:rsid w:val="005F6A13"/>
    <w:rsid w:val="00610262"/>
    <w:rsid w:val="0061308D"/>
    <w:rsid w:val="00615751"/>
    <w:rsid w:val="00624058"/>
    <w:rsid w:val="00626917"/>
    <w:rsid w:val="00637A98"/>
    <w:rsid w:val="00637EA6"/>
    <w:rsid w:val="006622EC"/>
    <w:rsid w:val="00666553"/>
    <w:rsid w:val="00666D8A"/>
    <w:rsid w:val="00671444"/>
    <w:rsid w:val="0067779D"/>
    <w:rsid w:val="00683B41"/>
    <w:rsid w:val="006844C8"/>
    <w:rsid w:val="006B603B"/>
    <w:rsid w:val="006C0E95"/>
    <w:rsid w:val="006C34AA"/>
    <w:rsid w:val="006C5462"/>
    <w:rsid w:val="006C7122"/>
    <w:rsid w:val="006E1538"/>
    <w:rsid w:val="006E16C3"/>
    <w:rsid w:val="006F1FAE"/>
    <w:rsid w:val="006F383D"/>
    <w:rsid w:val="00700FC6"/>
    <w:rsid w:val="00707F7A"/>
    <w:rsid w:val="007235EE"/>
    <w:rsid w:val="007450B6"/>
    <w:rsid w:val="00752D93"/>
    <w:rsid w:val="00752DDF"/>
    <w:rsid w:val="00755DEE"/>
    <w:rsid w:val="00775038"/>
    <w:rsid w:val="00793F2B"/>
    <w:rsid w:val="0079499C"/>
    <w:rsid w:val="007A4785"/>
    <w:rsid w:val="007E6AC0"/>
    <w:rsid w:val="007F02B5"/>
    <w:rsid w:val="007F0996"/>
    <w:rsid w:val="0080480F"/>
    <w:rsid w:val="008145D0"/>
    <w:rsid w:val="008166E1"/>
    <w:rsid w:val="00823257"/>
    <w:rsid w:val="0083740D"/>
    <w:rsid w:val="00840535"/>
    <w:rsid w:val="00842BD8"/>
    <w:rsid w:val="00853631"/>
    <w:rsid w:val="00867369"/>
    <w:rsid w:val="0087472F"/>
    <w:rsid w:val="00874E38"/>
    <w:rsid w:val="00886794"/>
    <w:rsid w:val="00887D84"/>
    <w:rsid w:val="008939D4"/>
    <w:rsid w:val="008A0E3F"/>
    <w:rsid w:val="008A2278"/>
    <w:rsid w:val="008A74A0"/>
    <w:rsid w:val="008C3C1E"/>
    <w:rsid w:val="008D07CC"/>
    <w:rsid w:val="008D730B"/>
    <w:rsid w:val="008E6524"/>
    <w:rsid w:val="008E71DB"/>
    <w:rsid w:val="008F3A45"/>
    <w:rsid w:val="00902589"/>
    <w:rsid w:val="00907677"/>
    <w:rsid w:val="00920286"/>
    <w:rsid w:val="00923FAF"/>
    <w:rsid w:val="00924B85"/>
    <w:rsid w:val="00926458"/>
    <w:rsid w:val="00936496"/>
    <w:rsid w:val="009376D1"/>
    <w:rsid w:val="0095010C"/>
    <w:rsid w:val="009534B8"/>
    <w:rsid w:val="00953BE8"/>
    <w:rsid w:val="009615AE"/>
    <w:rsid w:val="009642D5"/>
    <w:rsid w:val="00964AFF"/>
    <w:rsid w:val="00985C6E"/>
    <w:rsid w:val="00991E54"/>
    <w:rsid w:val="009A60A1"/>
    <w:rsid w:val="009B35A0"/>
    <w:rsid w:val="009C4F52"/>
    <w:rsid w:val="009E1DB2"/>
    <w:rsid w:val="009F1F5C"/>
    <w:rsid w:val="009F3EC8"/>
    <w:rsid w:val="009F5CDB"/>
    <w:rsid w:val="009F6B4A"/>
    <w:rsid w:val="00A25850"/>
    <w:rsid w:val="00A26323"/>
    <w:rsid w:val="00A31FE1"/>
    <w:rsid w:val="00A3721F"/>
    <w:rsid w:val="00A40D4D"/>
    <w:rsid w:val="00A4522F"/>
    <w:rsid w:val="00A7251B"/>
    <w:rsid w:val="00A7426E"/>
    <w:rsid w:val="00A930A0"/>
    <w:rsid w:val="00AB2D39"/>
    <w:rsid w:val="00AC6BB1"/>
    <w:rsid w:val="00AD1E68"/>
    <w:rsid w:val="00AD32F1"/>
    <w:rsid w:val="00AD5AB7"/>
    <w:rsid w:val="00AF5821"/>
    <w:rsid w:val="00B03612"/>
    <w:rsid w:val="00B131B0"/>
    <w:rsid w:val="00B1582A"/>
    <w:rsid w:val="00B161AB"/>
    <w:rsid w:val="00B24B57"/>
    <w:rsid w:val="00B30038"/>
    <w:rsid w:val="00B50EF5"/>
    <w:rsid w:val="00B740AA"/>
    <w:rsid w:val="00B87D6C"/>
    <w:rsid w:val="00BB0B73"/>
    <w:rsid w:val="00BB67B3"/>
    <w:rsid w:val="00BC0293"/>
    <w:rsid w:val="00BC5E60"/>
    <w:rsid w:val="00BC61ED"/>
    <w:rsid w:val="00BC654E"/>
    <w:rsid w:val="00C20987"/>
    <w:rsid w:val="00C27BF7"/>
    <w:rsid w:val="00C3153B"/>
    <w:rsid w:val="00C36F29"/>
    <w:rsid w:val="00C6432F"/>
    <w:rsid w:val="00C6709D"/>
    <w:rsid w:val="00C673BF"/>
    <w:rsid w:val="00C7369C"/>
    <w:rsid w:val="00C75E61"/>
    <w:rsid w:val="00C82029"/>
    <w:rsid w:val="00CA51E0"/>
    <w:rsid w:val="00CC628D"/>
    <w:rsid w:val="00CD11F9"/>
    <w:rsid w:val="00CE4101"/>
    <w:rsid w:val="00D046BD"/>
    <w:rsid w:val="00D04F6E"/>
    <w:rsid w:val="00D07989"/>
    <w:rsid w:val="00D10DD3"/>
    <w:rsid w:val="00D24AAB"/>
    <w:rsid w:val="00D3167F"/>
    <w:rsid w:val="00D4272F"/>
    <w:rsid w:val="00D45802"/>
    <w:rsid w:val="00D552C1"/>
    <w:rsid w:val="00D6614A"/>
    <w:rsid w:val="00D677DC"/>
    <w:rsid w:val="00D72D64"/>
    <w:rsid w:val="00D85F32"/>
    <w:rsid w:val="00DA7037"/>
    <w:rsid w:val="00DB3CF8"/>
    <w:rsid w:val="00DB56C5"/>
    <w:rsid w:val="00DD2F4E"/>
    <w:rsid w:val="00DE5993"/>
    <w:rsid w:val="00E0240B"/>
    <w:rsid w:val="00E106C2"/>
    <w:rsid w:val="00E162A1"/>
    <w:rsid w:val="00E1753E"/>
    <w:rsid w:val="00E257D9"/>
    <w:rsid w:val="00E33082"/>
    <w:rsid w:val="00E371A5"/>
    <w:rsid w:val="00E37C7C"/>
    <w:rsid w:val="00E457BE"/>
    <w:rsid w:val="00E8257F"/>
    <w:rsid w:val="00E905D9"/>
    <w:rsid w:val="00E95412"/>
    <w:rsid w:val="00E96712"/>
    <w:rsid w:val="00E9767F"/>
    <w:rsid w:val="00EA18C2"/>
    <w:rsid w:val="00EA2D4E"/>
    <w:rsid w:val="00EA3622"/>
    <w:rsid w:val="00EC64F6"/>
    <w:rsid w:val="00ED0EE4"/>
    <w:rsid w:val="00ED277C"/>
    <w:rsid w:val="00EE3C84"/>
    <w:rsid w:val="00EE7E21"/>
    <w:rsid w:val="00F064CE"/>
    <w:rsid w:val="00F31F81"/>
    <w:rsid w:val="00F44641"/>
    <w:rsid w:val="00F46208"/>
    <w:rsid w:val="00F46D0B"/>
    <w:rsid w:val="00F61537"/>
    <w:rsid w:val="00F62D47"/>
    <w:rsid w:val="00F765E7"/>
    <w:rsid w:val="00FA3D67"/>
    <w:rsid w:val="00FB0F75"/>
    <w:rsid w:val="00FB5F1A"/>
    <w:rsid w:val="00FB6919"/>
    <w:rsid w:val="00FE2CA0"/>
    <w:rsid w:val="054D17A8"/>
    <w:rsid w:val="0F51775A"/>
    <w:rsid w:val="103F303C"/>
    <w:rsid w:val="110B680B"/>
    <w:rsid w:val="12A81D3E"/>
    <w:rsid w:val="14207FAA"/>
    <w:rsid w:val="1E2342C3"/>
    <w:rsid w:val="21556A61"/>
    <w:rsid w:val="22162FAC"/>
    <w:rsid w:val="2B596FA4"/>
    <w:rsid w:val="3BC35CE2"/>
    <w:rsid w:val="3DA657B6"/>
    <w:rsid w:val="403402CF"/>
    <w:rsid w:val="437D00CE"/>
    <w:rsid w:val="451400B0"/>
    <w:rsid w:val="46AC6D17"/>
    <w:rsid w:val="5F506D43"/>
    <w:rsid w:val="61F925CA"/>
    <w:rsid w:val="631065ED"/>
    <w:rsid w:val="6C0B7539"/>
    <w:rsid w:val="6D550CC1"/>
    <w:rsid w:val="71996ED4"/>
    <w:rsid w:val="7CFC14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szCs w:val="20"/>
    </w:r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jc w:val="left"/>
    </w:pPr>
    <w:rPr>
      <w:rFonts w:cs="Times New Roman"/>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rPr>
  </w:style>
  <w:style w:type="character" w:styleId="10">
    <w:name w:val="FollowedHyperlink"/>
    <w:basedOn w:val="8"/>
    <w:semiHidden/>
    <w:unhideWhenUsed/>
    <w:qFormat/>
    <w:uiPriority w:val="99"/>
    <w:rPr>
      <w:color w:val="333333"/>
      <w:u w:val="none"/>
    </w:rPr>
  </w:style>
  <w:style w:type="character" w:styleId="11">
    <w:name w:val="Hyperlink"/>
    <w:basedOn w:val="8"/>
    <w:semiHidden/>
    <w:unhideWhenUsed/>
    <w:qFormat/>
    <w:uiPriority w:val="99"/>
    <w:rPr>
      <w:color w:val="333333"/>
      <w:u w:val="none"/>
    </w:rPr>
  </w:style>
  <w:style w:type="paragraph" w:customStyle="1" w:styleId="12">
    <w:name w:val="段"/>
    <w:link w:val="1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3">
    <w:name w:val="段 Char"/>
    <w:basedOn w:val="8"/>
    <w:link w:val="12"/>
    <w:qFormat/>
    <w:uiPriority w:val="0"/>
    <w:rPr>
      <w:rFonts w:ascii="宋体" w:hAnsi="Times New Roman" w:eastAsia="宋体" w:cs="Times New Roman"/>
      <w:kern w:val="0"/>
      <w:szCs w:val="20"/>
    </w:rPr>
  </w:style>
  <w:style w:type="character" w:customStyle="1" w:styleId="14">
    <w:name w:val="页眉 字符"/>
    <w:basedOn w:val="8"/>
    <w:link w:val="4"/>
    <w:qFormat/>
    <w:uiPriority w:val="99"/>
    <w:rPr>
      <w:sz w:val="18"/>
      <w:szCs w:val="18"/>
    </w:rPr>
  </w:style>
  <w:style w:type="character" w:customStyle="1" w:styleId="15">
    <w:name w:val="页脚 字符"/>
    <w:basedOn w:val="8"/>
    <w:link w:val="3"/>
    <w:qFormat/>
    <w:uiPriority w:val="99"/>
    <w:rPr>
      <w:sz w:val="18"/>
      <w:szCs w:val="18"/>
    </w:rPr>
  </w:style>
  <w:style w:type="character" w:customStyle="1" w:styleId="16">
    <w:name w:val="批注文字 字符"/>
    <w:link w:val="2"/>
    <w:qFormat/>
    <w:uiPriority w:val="0"/>
    <w:rPr>
      <w:kern w:val="2"/>
      <w:sz w:val="21"/>
    </w:rPr>
  </w:style>
  <w:style w:type="character" w:customStyle="1" w:styleId="17">
    <w:name w:val="批注文字 Char"/>
    <w:basedOn w:val="8"/>
    <w:semiHidden/>
    <w:qFormat/>
    <w:uiPriority w:val="99"/>
    <w:rPr>
      <w:kern w:val="2"/>
      <w:sz w:val="21"/>
      <w:szCs w:val="22"/>
    </w:rPr>
  </w:style>
  <w:style w:type="paragraph" w:styleId="18">
    <w:name w:val="List Paragraph"/>
    <w:basedOn w:val="1"/>
    <w:qFormat/>
    <w:uiPriority w:val="99"/>
    <w:pPr>
      <w:ind w:firstLine="420" w:firstLineChars="200"/>
    </w:pPr>
  </w:style>
  <w:style w:type="paragraph" w:customStyle="1" w:styleId="19">
    <w:name w:val="标准文件_二级条标题"/>
    <w:next w:val="1"/>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0">
    <w:name w:val="标准文件_三级条标题"/>
    <w:basedOn w:val="19"/>
    <w:next w:val="1"/>
    <w:qFormat/>
    <w:uiPriority w:val="0"/>
    <w:pPr>
      <w:widowControl/>
      <w:numPr>
        <w:ilvl w:val="4"/>
      </w:numPr>
      <w:outlineLvl w:val="3"/>
    </w:pPr>
  </w:style>
  <w:style w:type="paragraph" w:customStyle="1" w:styleId="21">
    <w:name w:val="标准文件_四级条标题"/>
    <w:next w:val="1"/>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22">
    <w:name w:val="标准文件_五级条标题"/>
    <w:next w:val="1"/>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23">
    <w:name w:val="标准文件_章标题"/>
    <w:next w:val="24"/>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
    <w:name w:val="标准文件_一级条标题"/>
    <w:basedOn w:val="23"/>
    <w:next w:val="1"/>
    <w:qFormat/>
    <w:uiPriority w:val="0"/>
    <w:pPr>
      <w:numPr>
        <w:ilvl w:val="2"/>
      </w:numPr>
      <w:spacing w:before="50" w:beforeLines="50" w:after="50" w:afterLines="50"/>
      <w:outlineLvl w:val="1"/>
    </w:pPr>
  </w:style>
  <w:style w:type="paragraph" w:customStyle="1" w:styleId="26">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7">
    <w:name w:val="标准文件_三级无标题"/>
    <w:basedOn w:val="20"/>
    <w:qFormat/>
    <w:uiPriority w:val="0"/>
    <w:pPr>
      <w:spacing w:before="0" w:beforeLines="0" w:after="0" w:afterLines="0"/>
      <w:outlineLvl w:val="9"/>
    </w:pPr>
    <w:rPr>
      <w:rFonts w:ascii="宋体" w:eastAsia="宋体"/>
    </w:rPr>
  </w:style>
  <w:style w:type="paragraph" w:customStyle="1" w:styleId="28">
    <w:name w:val="三级条标题"/>
    <w:basedOn w:val="29"/>
    <w:next w:val="12"/>
    <w:qFormat/>
    <w:uiPriority w:val="0"/>
    <w:pPr>
      <w:outlineLvl w:val="4"/>
    </w:pPr>
  </w:style>
  <w:style w:type="paragraph" w:customStyle="1" w:styleId="29">
    <w:name w:val="二级条标题"/>
    <w:basedOn w:val="1"/>
    <w:next w:val="12"/>
    <w:qFormat/>
    <w:uiPriority w:val="0"/>
    <w:pPr>
      <w:widowControl/>
      <w:spacing w:before="50" w:beforeLines="50" w:after="50" w:afterLines="50"/>
      <w:jc w:val="left"/>
      <w:outlineLvl w:val="3"/>
    </w:pPr>
    <w:rPr>
      <w:rFonts w:ascii="黑体" w:hAnsi="Times New Roman" w:eastAsia="黑体" w:cs="Times New Roman"/>
      <w:kern w:val="0"/>
      <w:szCs w:val="21"/>
    </w:rPr>
  </w:style>
  <w:style w:type="paragraph" w:customStyle="1" w:styleId="30">
    <w:name w:val="字母编号列项（一级）"/>
    <w:qFormat/>
    <w:uiPriority w:val="0"/>
    <w:pPr>
      <w:ind w:left="840" w:leftChars="200" w:hanging="420" w:hangingChars="200"/>
      <w:jc w:val="both"/>
    </w:pPr>
    <w:rPr>
      <w:rFonts w:ascii="宋体" w:hAnsi="宋体" w:eastAsia="宋体" w:cs="Times New Roman"/>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10</Pages>
  <Words>4996</Words>
  <Characters>5154</Characters>
  <Lines>11</Lines>
  <Paragraphs>3</Paragraphs>
  <TotalTime>0</TotalTime>
  <ScaleCrop>false</ScaleCrop>
  <LinksUpToDate>false</LinksUpToDate>
  <CharactersWithSpaces>5193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2025-07-01T01:22:00Z</dcterms:created>
  <dc:creator>gyb1</dc:creator>
  <cp:lastModifiedBy>Kฅther</cp:lastModifiedBy>
  <cp:lastPrinted>2020-08-18T02:54:00Z</cp:lastPrinted>
  <dcterms:modified xsi:type="dcterms:W3CDTF">2026-01-23T09:07:57Z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eyJoZGlkIjoiMzEwNTM5NzYwMDRjMzkwZTVkZjY2ODkwMGIxNGU0OTUiLCJ1c2VySWQiOiIxMTY3MzU5MTA2In0=</vt:lpwstr>
  </property>
  <property fmtid="{D5CDD505-2E9C-101B-9397-08002B2CF9AE}" pid="4" name="ICV">
    <vt:lpwstr>3124FCC8A0B54F108FD776F5402F2935_13</vt:lpwstr>
  </property>
</Properties>
</file>