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A685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31B81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56F504D">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71.100</w:t>
            </w:r>
            <w:r>
              <w:rPr>
                <w:rFonts w:hint="eastAsia" w:ascii="黑体" w:hAnsi="黑体" w:eastAsia="黑体"/>
                <w:sz w:val="21"/>
                <w:szCs w:val="21"/>
              </w:rPr>
              <w:t>.</w:t>
            </w:r>
            <w:r>
              <w:rPr>
                <w:rFonts w:hint="eastAsia" w:ascii="黑体" w:hAnsi="黑体" w:eastAsia="黑体"/>
                <w:sz w:val="21"/>
                <w:szCs w:val="21"/>
                <w:lang w:val="en-US" w:eastAsia="zh-CN"/>
              </w:rPr>
              <w:t>70</w:t>
            </w:r>
            <w:r>
              <w:rPr>
                <w:rFonts w:ascii="黑体" w:hAnsi="黑体" w:eastAsia="黑体"/>
                <w:sz w:val="21"/>
                <w:szCs w:val="21"/>
              </w:rPr>
              <w:fldChar w:fldCharType="end"/>
            </w:r>
            <w:bookmarkEnd w:id="0"/>
          </w:p>
        </w:tc>
      </w:tr>
      <w:tr w14:paraId="4DEE7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0E1F5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5E6D20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BD50327">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JSQA</w:t>
                  </w:r>
                  <w:r>
                    <w:fldChar w:fldCharType="end"/>
                  </w:r>
                  <w:bookmarkEnd w:id="1"/>
                </w:p>
              </w:tc>
            </w:tr>
          </w:tbl>
          <w:p w14:paraId="431313E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Y</w:t>
            </w:r>
            <w:r>
              <w:rPr>
                <w:rFonts w:hint="eastAsia" w:ascii="黑体" w:hAnsi="黑体" w:eastAsia="黑体"/>
                <w:sz w:val="21"/>
                <w:szCs w:val="21"/>
              </w:rPr>
              <w:t xml:space="preserve"> </w:t>
            </w:r>
            <w:r>
              <w:rPr>
                <w:rFonts w:hint="eastAsia" w:ascii="黑体" w:hAnsi="黑体" w:eastAsia="黑体"/>
                <w:sz w:val="21"/>
                <w:szCs w:val="21"/>
                <w:lang w:val="en-US" w:eastAsia="zh-CN"/>
              </w:rPr>
              <w:t>40</w:t>
            </w:r>
            <w:r>
              <w:rPr>
                <w:rFonts w:ascii="黑体" w:hAnsi="黑体" w:eastAsia="黑体"/>
                <w:sz w:val="21"/>
                <w:szCs w:val="21"/>
              </w:rPr>
              <w:fldChar w:fldCharType="end"/>
            </w:r>
            <w:bookmarkEnd w:id="2"/>
          </w:p>
        </w:tc>
      </w:tr>
    </w:tbl>
    <w:p w14:paraId="512450F8">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江苏省质量协会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9432B9B">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JSQA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lang w:val="en-US" w:eastAsia="zh-CN"/>
        </w:rPr>
        <w:t>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w:t>
      </w:r>
      <w:r>
        <w:rPr>
          <w:rFonts w:hint="eastAsia"/>
          <w:lang w:val="en-US" w:eastAsia="zh-CN"/>
        </w:rPr>
        <w:t>6</w:t>
      </w:r>
      <w:r>
        <w:fldChar w:fldCharType="end"/>
      </w:r>
      <w:bookmarkEnd w:id="7"/>
    </w:p>
    <w:p w14:paraId="20ECE0A2">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A725C2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0451715">
      <w:pPr>
        <w:pStyle w:val="50"/>
        <w:framePr w:w="9639" w:h="6976" w:hRule="exact" w:hSpace="0" w:vSpace="0" w:wrap="around" w:hAnchor="page" w:y="6408"/>
        <w:jc w:val="center"/>
        <w:rPr>
          <w:rFonts w:hint="eastAsia" w:ascii="黑体" w:hAnsi="黑体" w:eastAsia="黑体"/>
          <w:b w:val="0"/>
          <w:bCs w:val="0"/>
          <w:w w:val="100"/>
        </w:rPr>
      </w:pPr>
    </w:p>
    <w:p w14:paraId="05936A35">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国产普通化妆品安全评估资料技术要求</w:t>
      </w:r>
      <w:r>
        <w:fldChar w:fldCharType="end"/>
      </w:r>
      <w:bookmarkEnd w:id="9"/>
    </w:p>
    <w:p w14:paraId="035E241C">
      <w:pPr>
        <w:framePr w:w="9639" w:h="6974" w:hRule="exact" w:wrap="around" w:vAnchor="page" w:hAnchor="page" w:x="1419" w:y="6408" w:anchorLock="1"/>
        <w:ind w:left="-1418"/>
      </w:pPr>
    </w:p>
    <w:p w14:paraId="4D9C0A22">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Requirements for Safety Assessment</w:t>
      </w:r>
      <w:r>
        <w:rPr>
          <w:rFonts w:hint="eastAsia" w:ascii="黑体" w:hAnsi="黑体" w:eastAsia="黑体"/>
          <w:szCs w:val="28"/>
          <w:lang w:val="en-US" w:eastAsia="zh-CN"/>
        </w:rPr>
        <w:t xml:space="preserve"> Documents</w:t>
      </w:r>
      <w:r>
        <w:rPr>
          <w:rFonts w:hint="eastAsia" w:ascii="黑体" w:hAnsi="黑体" w:eastAsia="黑体"/>
          <w:szCs w:val="28"/>
        </w:rPr>
        <w:t xml:space="preserve"> of Domestic General Cosmetics</w:t>
      </w:r>
      <w:r>
        <w:rPr>
          <w:rFonts w:hint="eastAsia" w:ascii="黑体" w:hAnsi="黑体" w:eastAsia="黑体"/>
          <w:szCs w:val="28"/>
          <w:lang w:val="en-US" w:eastAsia="zh-CN"/>
        </w:rPr>
        <w:t xml:space="preserve"> </w:t>
      </w:r>
      <w:r>
        <w:rPr>
          <w:rFonts w:ascii="黑体" w:hAnsi="黑体" w:eastAsia="黑体"/>
          <w:szCs w:val="28"/>
        </w:rPr>
        <w:fldChar w:fldCharType="end"/>
      </w:r>
      <w:bookmarkEnd w:id="10"/>
    </w:p>
    <w:p w14:paraId="763D8A86">
      <w:pPr>
        <w:framePr w:w="9639" w:h="6974" w:hRule="exact" w:wrap="around" w:vAnchor="page" w:hAnchor="page" w:x="1419" w:y="6408" w:anchorLock="1"/>
        <w:spacing w:line="760" w:lineRule="exact"/>
        <w:ind w:left="-1418"/>
      </w:pPr>
    </w:p>
    <w:p w14:paraId="31F81E28">
      <w:pPr>
        <w:pStyle w:val="125"/>
        <w:framePr w:w="9639" w:h="6974" w:hRule="exact" w:wrap="around" w:vAnchor="page" w:hAnchor="page" w:x="1419" w:y="6408" w:anchorLock="1"/>
        <w:textAlignment w:val="bottom"/>
        <w:rPr>
          <w:rFonts w:eastAsia="黑体"/>
          <w:szCs w:val="28"/>
        </w:rPr>
      </w:pPr>
    </w:p>
    <w:p w14:paraId="16A9B88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818DE4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D13E4F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F44BBA4">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6"/>
      <w:r>
        <w:rPr>
          <w:rFonts w:hint="eastAsia"/>
        </w:rPr>
        <w:t>发布</w:t>
      </w:r>
    </w:p>
    <w:p w14:paraId="4ADF547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9"/>
      <w:r>
        <w:rPr>
          <w:rFonts w:hint="eastAsia"/>
        </w:rPr>
        <w:t>实施</w:t>
      </w:r>
    </w:p>
    <w:p w14:paraId="74B89440">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江苏省质量协会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81C437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92CC3BD">
      <w:pPr>
        <w:pStyle w:val="91"/>
        <w:spacing w:after="360"/>
      </w:pPr>
      <w:bookmarkStart w:id="21" w:name="BookMark1"/>
      <w:r>
        <w:rPr>
          <w:rFonts w:hint="eastAsia"/>
          <w:spacing w:val="320"/>
        </w:rPr>
        <w:t>目</w:t>
      </w:r>
      <w:r>
        <w:rPr>
          <w:rFonts w:hint="eastAsia"/>
        </w:rPr>
        <w:t>次</w:t>
      </w:r>
    </w:p>
    <w:p w14:paraId="0330763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"_Toc217394595"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_Toc217394595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75339EE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"_Toc217394596"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_Toc217394596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863E0F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"_Toc217394597"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_Toc217394597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ABADEA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"_Toc217394598"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_Toc217394598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DFD05A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"_Toc217394599" </w:instrText>
      </w:r>
      <w:r>
        <w:fldChar w:fldCharType="separate"/>
      </w:r>
      <w:r>
        <w:rPr>
          <w:rStyle w:val="32"/>
          <w:rFonts w:hint="eastAsia"/>
        </w:rPr>
        <w:t>4</w:t>
      </w:r>
      <w:r>
        <w:rPr>
          <w:rStyle w:val="32"/>
        </w:rPr>
        <w:t xml:space="preserve"> </w:t>
      </w:r>
      <w:r>
        <w:rPr>
          <w:rStyle w:val="32"/>
          <w:rFonts w:hint="eastAsia"/>
        </w:rPr>
        <w:t xml:space="preserve"> 总体要求</w:t>
      </w:r>
      <w:r>
        <w:rPr>
          <w:rFonts w:hint="eastAsia"/>
        </w:rPr>
        <w:tab/>
      </w:r>
      <w:r>
        <w:rPr>
          <w:rFonts w:hint="eastAsia"/>
          <w:lang w:val="en-US" w:eastAsia="zh-CN"/>
        </w:rPr>
        <w:t>2</w:t>
      </w:r>
      <w:r>
        <w:rPr>
          <w:rFonts w:hint="eastAsia"/>
        </w:rPr>
        <w:fldChar w:fldCharType="end"/>
      </w:r>
    </w:p>
    <w:p w14:paraId="2ECEFF6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"_Toc217394600" </w:instrText>
      </w:r>
      <w:r>
        <w:fldChar w:fldCharType="separate"/>
      </w:r>
      <w:r>
        <w:rPr>
          <w:rStyle w:val="32"/>
          <w:rFonts w:hint="eastAsia"/>
        </w:rPr>
        <w:t>5</w:t>
      </w:r>
      <w:r>
        <w:rPr>
          <w:rStyle w:val="32"/>
        </w:rPr>
        <w:t xml:space="preserve"> </w:t>
      </w:r>
      <w:r>
        <w:rPr>
          <w:rStyle w:val="32"/>
          <w:rFonts w:hint="eastAsia"/>
        </w:rPr>
        <w:t xml:space="preserve"> 安全评估人员从业要求</w:t>
      </w:r>
      <w:r>
        <w:rPr>
          <w:rFonts w:hint="eastAsia"/>
        </w:rPr>
        <w:tab/>
      </w:r>
      <w:r>
        <w:rPr>
          <w:rFonts w:hint="eastAsia"/>
          <w:lang w:val="en-US" w:eastAsia="zh-CN"/>
        </w:rPr>
        <w:t>2</w:t>
      </w:r>
      <w:r>
        <w:rPr>
          <w:rFonts w:hint="eastAsia"/>
        </w:rPr>
        <w:fldChar w:fldCharType="end"/>
      </w:r>
    </w:p>
    <w:p w14:paraId="562A136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"_Toc217394601" </w:instrText>
      </w:r>
      <w:r>
        <w:fldChar w:fldCharType="separate"/>
      </w:r>
      <w:r>
        <w:rPr>
          <w:rStyle w:val="32"/>
          <w:rFonts w:hint="eastAsia"/>
        </w:rPr>
        <w:t>6</w:t>
      </w:r>
      <w:r>
        <w:rPr>
          <w:rStyle w:val="32"/>
        </w:rPr>
        <w:t xml:space="preserve"> </w:t>
      </w:r>
      <w:r>
        <w:rPr>
          <w:rStyle w:val="32"/>
          <w:rFonts w:hint="eastAsia"/>
        </w:rPr>
        <w:t xml:space="preserve"> 安全评估过程</w:t>
      </w:r>
      <w:r>
        <w:rPr>
          <w:rFonts w:hint="eastAsia"/>
        </w:rPr>
        <w:tab/>
      </w:r>
      <w:r>
        <w:rPr>
          <w:rFonts w:hint="eastAsia"/>
          <w:lang w:val="en-US" w:eastAsia="zh-CN"/>
        </w:rPr>
        <w:t>3</w:t>
      </w:r>
      <w:r>
        <w:rPr>
          <w:rFonts w:hint="eastAsia"/>
        </w:rPr>
        <w:fldChar w:fldCharType="end"/>
      </w:r>
    </w:p>
    <w:p w14:paraId="2737143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"_Toc217394602" </w:instrText>
      </w:r>
      <w:r>
        <w:fldChar w:fldCharType="separate"/>
      </w:r>
      <w:r>
        <w:rPr>
          <w:rStyle w:val="32"/>
          <w:rFonts w:hint="eastAsia"/>
        </w:rPr>
        <w:t>7</w:t>
      </w:r>
      <w:r>
        <w:rPr>
          <w:rStyle w:val="32"/>
        </w:rPr>
        <w:t xml:space="preserve"> </w:t>
      </w:r>
      <w:r>
        <w:rPr>
          <w:rStyle w:val="32"/>
          <w:rFonts w:hint="eastAsia"/>
        </w:rPr>
        <w:t xml:space="preserve"> 测试方法要求</w:t>
      </w:r>
      <w:r>
        <w:rPr>
          <w:rFonts w:hint="eastAsia"/>
        </w:rPr>
        <w:tab/>
      </w:r>
      <w:r>
        <w:rPr>
          <w:rFonts w:hint="eastAsia"/>
          <w:lang w:val="en-US" w:eastAsia="zh-CN"/>
        </w:rPr>
        <w:t>4</w:t>
      </w:r>
      <w:r>
        <w:rPr>
          <w:rFonts w:hint="eastAsia"/>
        </w:rPr>
        <w:fldChar w:fldCharType="end"/>
      </w:r>
    </w:p>
    <w:p w14:paraId="0710160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"_Toc217394603" </w:instrText>
      </w:r>
      <w:r>
        <w:fldChar w:fldCharType="separate"/>
      </w:r>
      <w:r>
        <w:rPr>
          <w:rStyle w:val="32"/>
          <w:rFonts w:hint="eastAsia"/>
        </w:rPr>
        <w:t>8</w:t>
      </w:r>
      <w:r>
        <w:rPr>
          <w:rStyle w:val="32"/>
        </w:rPr>
        <w:t xml:space="preserve"> </w:t>
      </w:r>
      <w:r>
        <w:rPr>
          <w:rStyle w:val="32"/>
          <w:rFonts w:hint="eastAsia"/>
        </w:rPr>
        <w:t xml:space="preserve"> 安全评估报告编写</w:t>
      </w:r>
      <w:r>
        <w:rPr>
          <w:rFonts w:hint="eastAsia"/>
        </w:rPr>
        <w:tab/>
      </w:r>
      <w:r>
        <w:rPr>
          <w:rFonts w:hint="eastAsia"/>
          <w:lang w:val="en-US" w:eastAsia="zh-CN"/>
        </w:rPr>
        <w:t>5</w:t>
      </w:r>
      <w:r>
        <w:rPr>
          <w:rFonts w:hint="eastAsia"/>
        </w:rPr>
        <w:fldChar w:fldCharType="end"/>
      </w:r>
    </w:p>
    <w:p w14:paraId="03129E95">
      <w:pPr>
        <w:pStyle w:val="19"/>
        <w:tabs>
          <w:tab w:val="right" w:leader="dot" w:pos="9344"/>
        </w:tabs>
        <w:rPr>
          <w:rFonts w:hint="eastAsia"/>
        </w:rPr>
      </w:pPr>
      <w:r>
        <w:fldChar w:fldCharType="begin"/>
      </w:r>
      <w:r>
        <w:instrText xml:space="preserve"> HYPERLINK \l "_Toc217394606" </w:instrText>
      </w:r>
      <w:r>
        <w:fldChar w:fldCharType="separate"/>
      </w:r>
      <w:r>
        <w:rPr>
          <w:rStyle w:val="32"/>
          <w:rFonts w:hint="eastAsia"/>
        </w:rPr>
        <w:t>附录A（</w:t>
      </w:r>
      <w:r>
        <w:rPr>
          <w:rStyle w:val="32"/>
          <w:rFonts w:hint="eastAsia"/>
          <w:lang w:eastAsia="zh-CN"/>
        </w:rPr>
        <w:t>规范</w:t>
      </w:r>
      <w:r>
        <w:rPr>
          <w:rStyle w:val="32"/>
          <w:rFonts w:hint="eastAsia"/>
        </w:rPr>
        <w:t>性）</w:t>
      </w:r>
      <w:r>
        <w:rPr>
          <w:rStyle w:val="32"/>
        </w:rPr>
        <w:t xml:space="preserve"> </w:t>
      </w:r>
      <w:r>
        <w:rPr>
          <w:rStyle w:val="32"/>
          <w:rFonts w:hint="eastAsia"/>
        </w:rPr>
        <w:t xml:space="preserve"> 数据使用要求和证明材料</w:t>
      </w:r>
      <w:r>
        <w:rPr>
          <w:rFonts w:hint="eastAsia"/>
        </w:rPr>
        <w:tab/>
      </w:r>
      <w:r>
        <w:rPr>
          <w:rFonts w:hint="eastAsia"/>
          <w:lang w:val="en-US" w:eastAsia="zh-CN"/>
        </w:rPr>
        <w:t>7</w:t>
      </w:r>
      <w:r>
        <w:rPr>
          <w:rFonts w:hint="eastAsia"/>
        </w:rPr>
        <w:fldChar w:fldCharType="end"/>
      </w:r>
    </w:p>
    <w:p w14:paraId="6240D67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"_Toc217394606" </w:instrText>
      </w:r>
      <w:r>
        <w:fldChar w:fldCharType="separate"/>
      </w:r>
      <w:r>
        <w:rPr>
          <w:rStyle w:val="32"/>
          <w:rFonts w:hint="eastAsia"/>
        </w:rPr>
        <w:t>附录</w:t>
      </w:r>
      <w:r>
        <w:rPr>
          <w:rStyle w:val="32"/>
          <w:rFonts w:hint="eastAsia"/>
          <w:lang w:val="en-US" w:eastAsia="zh-CN"/>
        </w:rPr>
        <w:t>B</w:t>
      </w:r>
      <w:r>
        <w:rPr>
          <w:rStyle w:val="32"/>
          <w:rFonts w:hint="eastAsia"/>
        </w:rPr>
        <w:t>（资料性）</w:t>
      </w:r>
      <w:r>
        <w:rPr>
          <w:rStyle w:val="32"/>
        </w:rPr>
        <w:t xml:space="preserve"> </w:t>
      </w:r>
      <w:r>
        <w:rPr>
          <w:rStyle w:val="32"/>
          <w:rFonts w:hint="eastAsia"/>
        </w:rPr>
        <w:t xml:space="preserve"> 毒理学终点评估要求</w:t>
      </w:r>
      <w:r>
        <w:rPr>
          <w:rFonts w:hint="eastAsia"/>
        </w:rPr>
        <w:tab/>
      </w:r>
      <w:r>
        <w:rPr>
          <w:rFonts w:hint="eastAsia"/>
          <w:lang w:val="en-US" w:eastAsia="zh-CN"/>
        </w:rPr>
        <w:t>8</w:t>
      </w:r>
      <w:r>
        <w:rPr>
          <w:rFonts w:hint="eastAsia"/>
        </w:rPr>
        <w:fldChar w:fldCharType="end"/>
      </w:r>
    </w:p>
    <w:p w14:paraId="3D9C14D8">
      <w:pPr>
        <w:pStyle w:val="19"/>
        <w:tabs>
          <w:tab w:val="right" w:leader="dot" w:pos="9344"/>
        </w:tabs>
        <w:rPr>
          <w:rFonts w:hint="eastAsia" w:eastAsia="宋体" w:asciiTheme="minorHAnsi" w:hAnsiTheme="minorHAnsi" w:cstheme="minorBidi"/>
          <w:sz w:val="22"/>
          <w:szCs w:val="24"/>
          <w:lang w:val="en-US" w:eastAsia="zh-CN"/>
          <w14:ligatures w14:val="standardContextual"/>
        </w:rPr>
      </w:pPr>
      <w:r>
        <w:fldChar w:fldCharType="begin"/>
      </w:r>
      <w:r>
        <w:instrText xml:space="preserve"> HYPERLINK \l "_Toc217394606" </w:instrText>
      </w:r>
      <w:r>
        <w:fldChar w:fldCharType="separate"/>
      </w:r>
      <w:r>
        <w:rPr>
          <w:rStyle w:val="32"/>
          <w:rFonts w:hint="eastAsia"/>
        </w:rPr>
        <w:t>附录</w:t>
      </w:r>
      <w:r>
        <w:rPr>
          <w:rStyle w:val="32"/>
          <w:rFonts w:hint="eastAsia"/>
          <w:lang w:val="en-US" w:eastAsia="zh-CN"/>
        </w:rPr>
        <w:t>C</w:t>
      </w:r>
      <w:r>
        <w:rPr>
          <w:rStyle w:val="32"/>
          <w:rFonts w:hint="eastAsia"/>
        </w:rPr>
        <w:t>（资料性）</w:t>
      </w:r>
      <w:r>
        <w:rPr>
          <w:rStyle w:val="32"/>
        </w:rPr>
        <w:t xml:space="preserve"> </w:t>
      </w:r>
      <w:r>
        <w:rPr>
          <w:rStyle w:val="32"/>
          <w:rFonts w:hint="eastAsia"/>
        </w:rPr>
        <w:t xml:space="preserve"> 终产品安全性测试</w:t>
      </w:r>
      <w:r>
        <w:rPr>
          <w:rFonts w:hint="eastAsia"/>
        </w:rPr>
        <w:tab/>
      </w:r>
      <w:r>
        <w:rPr>
          <w:rFonts w:hint="eastAsia"/>
          <w:lang w:val="en-US" w:eastAsia="zh-CN"/>
        </w:rPr>
        <w:t>1</w:t>
      </w:r>
      <w:r>
        <w:rPr>
          <w:rFonts w:hint="eastAsia"/>
        </w:rPr>
        <w:fldChar w:fldCharType="end"/>
      </w:r>
      <w:r>
        <w:rPr>
          <w:rFonts w:hint="eastAsia"/>
          <w:lang w:val="en-US" w:eastAsia="zh-CN"/>
        </w:rPr>
        <w:t>0</w:t>
      </w:r>
    </w:p>
    <w:p w14:paraId="135DBDD7">
      <w:pPr>
        <w:pStyle w:val="19"/>
        <w:tabs>
          <w:tab w:val="right" w:leader="dot" w:pos="9344"/>
        </w:tabs>
        <w:rPr>
          <w:rFonts w:hint="eastAsia" w:eastAsia="宋体" w:asciiTheme="minorHAnsi" w:hAnsiTheme="minorHAnsi" w:cstheme="minorBidi"/>
          <w:sz w:val="22"/>
          <w:szCs w:val="24"/>
          <w:lang w:val="en-US" w:eastAsia="zh-CN"/>
          <w14:ligatures w14:val="standardContextual"/>
        </w:rPr>
      </w:pPr>
      <w:r>
        <w:fldChar w:fldCharType="begin"/>
      </w:r>
      <w:r>
        <w:instrText xml:space="preserve"> HYPERLINK \l "_Toc217394606" </w:instrText>
      </w:r>
      <w:r>
        <w:fldChar w:fldCharType="separate"/>
      </w:r>
      <w:r>
        <w:rPr>
          <w:rStyle w:val="32"/>
          <w:rFonts w:hint="eastAsia"/>
        </w:rPr>
        <w:t>附录</w:t>
      </w:r>
      <w:r>
        <w:rPr>
          <w:rStyle w:val="32"/>
          <w:rFonts w:hint="eastAsia"/>
          <w:lang w:val="en-US" w:eastAsia="zh-CN"/>
        </w:rPr>
        <w:t>D</w:t>
      </w:r>
      <w:r>
        <w:rPr>
          <w:rStyle w:val="32"/>
          <w:rFonts w:hint="eastAsia"/>
        </w:rPr>
        <w:t>（资料性）</w:t>
      </w:r>
      <w:r>
        <w:rPr>
          <w:rStyle w:val="32"/>
        </w:rPr>
        <w:t xml:space="preserve"> </w:t>
      </w:r>
      <w:r>
        <w:rPr>
          <w:rStyle w:val="32"/>
          <w:rFonts w:hint="eastAsia"/>
        </w:rPr>
        <w:t xml:space="preserve"> 防腐挑战测试</w:t>
      </w:r>
      <w:r>
        <w:rPr>
          <w:rFonts w:hint="eastAsia"/>
        </w:rPr>
        <w:tab/>
      </w:r>
      <w:r>
        <w:rPr>
          <w:rFonts w:hint="eastAsia"/>
          <w:lang w:val="en-US" w:eastAsia="zh-CN"/>
        </w:rPr>
        <w:t>1</w:t>
      </w:r>
      <w:r>
        <w:rPr>
          <w:rFonts w:hint="eastAsia"/>
        </w:rPr>
        <w:fldChar w:fldCharType="end"/>
      </w:r>
      <w:r>
        <w:rPr>
          <w:rFonts w:hint="eastAsia"/>
          <w:lang w:val="en-US" w:eastAsia="zh-CN"/>
        </w:rPr>
        <w:t>1</w:t>
      </w:r>
    </w:p>
    <w:p w14:paraId="7C39DF3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"_Toc217394606" </w:instrText>
      </w:r>
      <w:r>
        <w:fldChar w:fldCharType="separate"/>
      </w:r>
      <w:r>
        <w:rPr>
          <w:rStyle w:val="32"/>
          <w:rFonts w:hint="eastAsia"/>
        </w:rPr>
        <w:t>附录</w:t>
      </w:r>
      <w:r>
        <w:rPr>
          <w:rStyle w:val="32"/>
          <w:rFonts w:hint="eastAsia"/>
          <w:lang w:val="en-US" w:eastAsia="zh-CN"/>
        </w:rPr>
        <w:t>E</w:t>
      </w:r>
      <w:r>
        <w:rPr>
          <w:rStyle w:val="32"/>
          <w:rFonts w:hint="eastAsia"/>
        </w:rPr>
        <w:t>（资料性）</w:t>
      </w:r>
      <w:r>
        <w:rPr>
          <w:rStyle w:val="32"/>
        </w:rPr>
        <w:t xml:space="preserve"> </w:t>
      </w:r>
      <w:r>
        <w:rPr>
          <w:rStyle w:val="32"/>
          <w:rFonts w:hint="eastAsia"/>
        </w:rPr>
        <w:t xml:space="preserve"> 产品稳定性测试</w:t>
      </w:r>
      <w:r>
        <w:rPr>
          <w:rFonts w:hint="eastAsia"/>
        </w:rPr>
        <w:tab/>
      </w:r>
      <w:r>
        <w:rPr>
          <w:rFonts w:hint="eastAsia"/>
          <w:lang w:val="en-US" w:eastAsia="zh-CN"/>
        </w:rPr>
        <w:t>12</w:t>
      </w:r>
      <w:r>
        <w:rPr>
          <w:rFonts w:hint="eastAsia"/>
        </w:rPr>
        <w:fldChar w:fldCharType="end"/>
      </w:r>
    </w:p>
    <w:p w14:paraId="17C093C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"_Toc217394606" </w:instrText>
      </w:r>
      <w:r>
        <w:fldChar w:fldCharType="separate"/>
      </w:r>
      <w:r>
        <w:rPr>
          <w:rStyle w:val="32"/>
          <w:rFonts w:hint="eastAsia"/>
        </w:rPr>
        <w:t>附录</w:t>
      </w:r>
      <w:r>
        <w:rPr>
          <w:rStyle w:val="32"/>
          <w:rFonts w:hint="eastAsia"/>
          <w:lang w:val="en-US" w:eastAsia="zh-CN"/>
        </w:rPr>
        <w:t>F</w:t>
      </w:r>
      <w:r>
        <w:rPr>
          <w:rStyle w:val="32"/>
          <w:rFonts w:hint="eastAsia"/>
        </w:rPr>
        <w:t>（资料性）</w:t>
      </w:r>
      <w:r>
        <w:rPr>
          <w:rStyle w:val="32"/>
        </w:rPr>
        <w:t xml:space="preserve"> </w:t>
      </w:r>
      <w:r>
        <w:rPr>
          <w:rStyle w:val="32"/>
          <w:rFonts w:hint="eastAsia"/>
        </w:rPr>
        <w:t xml:space="preserve"> 包材相容性测试</w:t>
      </w:r>
      <w:r>
        <w:rPr>
          <w:rFonts w:hint="eastAsia"/>
        </w:rPr>
        <w:tab/>
      </w:r>
      <w:r>
        <w:rPr>
          <w:rFonts w:hint="eastAsia"/>
          <w:lang w:val="en-US" w:eastAsia="zh-CN"/>
        </w:rPr>
        <w:t>13</w:t>
      </w:r>
      <w:r>
        <w:rPr>
          <w:rFonts w:hint="eastAsia"/>
        </w:rPr>
        <w:fldChar w:fldCharType="end"/>
      </w:r>
    </w:p>
    <w:p w14:paraId="50D66D4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"_Toc217394606" </w:instrText>
      </w:r>
      <w:r>
        <w:fldChar w:fldCharType="separate"/>
      </w:r>
      <w:r>
        <w:rPr>
          <w:rStyle w:val="32"/>
          <w:rFonts w:hint="eastAsia"/>
          <w:lang w:eastAsia="zh-CN"/>
        </w:rPr>
        <w:t>参考文献</w:t>
      </w:r>
      <w:r>
        <w:rPr>
          <w:rFonts w:hint="eastAsia"/>
        </w:rPr>
        <w:tab/>
      </w:r>
      <w:r>
        <w:rPr>
          <w:rFonts w:hint="eastAsia"/>
          <w:lang w:val="en-US" w:eastAsia="zh-CN"/>
        </w:rPr>
        <w:t>14</w:t>
      </w:r>
      <w:r>
        <w:rPr>
          <w:rFonts w:hint="eastAsia"/>
        </w:rPr>
        <w:fldChar w:fldCharType="end"/>
      </w:r>
    </w:p>
    <w:p w14:paraId="3042AFF6">
      <w:pPr>
        <w:rPr>
          <w:rFonts w:hint="eastAsia"/>
        </w:rPr>
      </w:pPr>
    </w:p>
    <w:p w14:paraId="57990DFF">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56F07A07">
      <w:pPr>
        <w:pStyle w:val="89"/>
        <w:spacing w:after="360"/>
      </w:pPr>
      <w:bookmarkStart w:id="22" w:name="_Toc217394595"/>
      <w:bookmarkStart w:id="23" w:name="BookMark2"/>
      <w:r>
        <w:rPr>
          <w:rFonts w:hint="eastAsia"/>
          <w:spacing w:val="320"/>
        </w:rPr>
        <w:t>前</w:t>
      </w:r>
      <w:r>
        <w:rPr>
          <w:rFonts w:hint="eastAsia"/>
        </w:rPr>
        <w:t>言</w:t>
      </w:r>
      <w:bookmarkEnd w:id="22"/>
    </w:p>
    <w:p w14:paraId="6CB4B624">
      <w:pPr>
        <w:pStyle w:val="56"/>
        <w:ind w:firstLine="420"/>
      </w:pPr>
      <w:r>
        <w:rPr>
          <w:rFonts w:hint="eastAsia"/>
        </w:rPr>
        <w:t>本文件按照GB/T 1.1—2020《标准化工作导则  第1部分：标准化文件的结构和起草规则》的规定起草。</w:t>
      </w:r>
    </w:p>
    <w:p w14:paraId="3A1C31DE">
      <w:pPr>
        <w:pStyle w:val="56"/>
        <w:ind w:firstLine="420"/>
      </w:pPr>
      <w:r>
        <w:rPr>
          <w:rFonts w:hint="eastAsia"/>
        </w:rPr>
        <w:t>请注意本文件的某些内容可能涉及专利。本文件的发布机构不承担识别专利的责任。</w:t>
      </w:r>
    </w:p>
    <w:p w14:paraId="24E294C3">
      <w:pPr>
        <w:pStyle w:val="56"/>
        <w:ind w:firstLine="420"/>
      </w:pPr>
      <w:r>
        <w:rPr>
          <w:rFonts w:hint="eastAsia"/>
        </w:rPr>
        <w:t>本文件由</w:t>
      </w:r>
      <w:r>
        <w:rPr>
          <w:rFonts w:hint="eastAsia"/>
          <w:lang w:val="en-US" w:eastAsia="zh-CN"/>
        </w:rPr>
        <w:t>×××</w:t>
      </w:r>
      <w:r>
        <w:rPr>
          <w:rFonts w:hint="eastAsia"/>
        </w:rPr>
        <w:t>提出。</w:t>
      </w:r>
    </w:p>
    <w:p w14:paraId="5B80255B">
      <w:pPr>
        <w:pStyle w:val="56"/>
        <w:ind w:firstLine="420"/>
      </w:pPr>
      <w:r>
        <w:rPr>
          <w:rFonts w:hint="eastAsia"/>
        </w:rPr>
        <w:t>本文件由江苏省质量协会归口。</w:t>
      </w:r>
    </w:p>
    <w:p w14:paraId="714F54C6">
      <w:pPr>
        <w:pStyle w:val="56"/>
        <w:ind w:firstLine="420"/>
      </w:pPr>
      <w:r>
        <w:rPr>
          <w:rFonts w:hint="eastAsia"/>
        </w:rPr>
        <w:t>本文件起草单位：</w:t>
      </w:r>
      <w:r>
        <w:rPr>
          <w:rFonts w:hint="eastAsia"/>
          <w:lang w:val="en-US" w:eastAsia="zh-CN"/>
        </w:rPr>
        <w:t>×××</w:t>
      </w:r>
      <w:r>
        <w:rPr>
          <w:rFonts w:hint="eastAsia"/>
        </w:rPr>
        <w:t>。</w:t>
      </w:r>
    </w:p>
    <w:p w14:paraId="202A0C64">
      <w:pPr>
        <w:pStyle w:val="56"/>
        <w:ind w:firstLine="420"/>
      </w:pPr>
      <w:r>
        <w:rPr>
          <w:rFonts w:hint="eastAsia"/>
        </w:rPr>
        <w:t>本文件主要起草人：</w:t>
      </w:r>
      <w:r>
        <w:rPr>
          <w:rFonts w:hint="eastAsia"/>
          <w:lang w:val="en-US" w:eastAsia="zh-CN"/>
        </w:rPr>
        <w:t>×××</w:t>
      </w:r>
      <w:r>
        <w:rPr>
          <w:rFonts w:hint="eastAsia"/>
        </w:rPr>
        <w:t>。</w:t>
      </w:r>
    </w:p>
    <w:p w14:paraId="216CD654">
      <w:pPr>
        <w:pStyle w:val="56"/>
        <w:ind w:firstLine="420"/>
      </w:pPr>
    </w:p>
    <w:p w14:paraId="4BCE59C1">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1F556C46">
      <w:pPr>
        <w:spacing w:line="20" w:lineRule="exact"/>
        <w:jc w:val="center"/>
        <w:rPr>
          <w:rFonts w:hint="eastAsia" w:ascii="黑体" w:hAnsi="黑体" w:eastAsia="黑体"/>
          <w:sz w:val="32"/>
          <w:szCs w:val="32"/>
        </w:rPr>
      </w:pPr>
      <w:bookmarkStart w:id="24" w:name="BookMark4"/>
    </w:p>
    <w:p w14:paraId="2B2781D0">
      <w:pPr>
        <w:spacing w:line="20" w:lineRule="exact"/>
        <w:jc w:val="center"/>
        <w:rPr>
          <w:rFonts w:hint="eastAsia" w:ascii="黑体" w:hAnsi="黑体" w:eastAsia="黑体"/>
          <w:sz w:val="32"/>
          <w:szCs w:val="32"/>
        </w:rPr>
      </w:pPr>
    </w:p>
    <w:sdt>
      <w:sdtPr>
        <w:tag w:val="NEW_STAND_NAME"/>
        <w:id w:val="595910757"/>
        <w:lock w:val="sdtLocked"/>
        <w:placeholder>
          <w:docPart w:val="A6C7A2B2AE8D47F2B13B184601B88631"/>
        </w:placeholder>
      </w:sdtPr>
      <w:sdtContent>
        <w:p w14:paraId="25ABCDE0">
          <w:pPr>
            <w:pStyle w:val="177"/>
            <w:spacing w:before="240" w:beforeLines="100" w:after="528" w:afterLines="220"/>
            <w:rPr>
              <w:rFonts w:hint="eastAsia"/>
            </w:rPr>
          </w:pPr>
          <w:bookmarkStart w:id="25" w:name="NEW_STAND_NAME"/>
          <w:r>
            <w:rPr>
              <w:rFonts w:hint="eastAsia"/>
            </w:rPr>
            <w:t>国产普通化妆品安全评估资料技术要求</w:t>
          </w:r>
        </w:p>
      </w:sdtContent>
    </w:sdt>
    <w:bookmarkEnd w:id="25"/>
    <w:p w14:paraId="4B05BE86">
      <w:pPr>
        <w:pStyle w:val="104"/>
        <w:spacing w:before="240" w:after="240"/>
      </w:pPr>
      <w:bookmarkStart w:id="26" w:name="_Toc24884211"/>
      <w:bookmarkStart w:id="27" w:name="_Toc17233333"/>
      <w:bookmarkStart w:id="28" w:name="_Toc24884218"/>
      <w:bookmarkStart w:id="29" w:name="_Toc26986771"/>
      <w:bookmarkStart w:id="30" w:name="_Toc17233325"/>
      <w:bookmarkStart w:id="31" w:name="_Toc26986530"/>
      <w:bookmarkStart w:id="32" w:name="_Toc26718930"/>
      <w:bookmarkStart w:id="33" w:name="_Toc97192964"/>
      <w:bookmarkStart w:id="34" w:name="_Toc26648465"/>
      <w:bookmarkStart w:id="35" w:name="_Toc217394596"/>
      <w:r>
        <w:rPr>
          <w:rFonts w:hint="eastAsia"/>
        </w:rPr>
        <w:t>范围</w:t>
      </w:r>
      <w:bookmarkEnd w:id="26"/>
      <w:bookmarkEnd w:id="27"/>
      <w:bookmarkEnd w:id="28"/>
      <w:bookmarkEnd w:id="29"/>
      <w:bookmarkEnd w:id="30"/>
      <w:bookmarkEnd w:id="31"/>
      <w:bookmarkEnd w:id="32"/>
      <w:bookmarkEnd w:id="33"/>
      <w:bookmarkEnd w:id="34"/>
      <w:bookmarkEnd w:id="35"/>
    </w:p>
    <w:p w14:paraId="333F3E50">
      <w:pPr>
        <w:pStyle w:val="56"/>
        <w:ind w:firstLine="420"/>
      </w:pPr>
      <w:bookmarkStart w:id="36" w:name="_Toc24884219"/>
      <w:bookmarkStart w:id="37" w:name="_Toc26648466"/>
      <w:bookmarkStart w:id="38" w:name="_Toc24884212"/>
      <w:bookmarkStart w:id="39" w:name="_Toc17233334"/>
      <w:bookmarkStart w:id="40" w:name="_Toc17233326"/>
      <w:r>
        <w:rPr>
          <w:rFonts w:hint="eastAsia"/>
        </w:rPr>
        <w:t>本文件规定了国产普通化妆品安全评估资料的总体要求、安全评估人员从业要求、安全评估过程、测试方法、安全评估报告编写。</w:t>
      </w:r>
    </w:p>
    <w:p w14:paraId="366B04B4">
      <w:pPr>
        <w:pStyle w:val="56"/>
        <w:ind w:firstLine="420"/>
      </w:pPr>
      <w:r>
        <w:rPr>
          <w:rFonts w:hint="eastAsia"/>
          <w:sz w:val="21"/>
          <w:szCs w:val="21"/>
          <w:highlight w:val="none"/>
        </w:rPr>
        <w:t>本</w:t>
      </w:r>
      <w:r>
        <w:rPr>
          <w:rFonts w:hint="eastAsia"/>
          <w:sz w:val="21"/>
          <w:szCs w:val="21"/>
          <w:highlight w:val="none"/>
          <w:lang w:val="en-US" w:eastAsia="zh-CN"/>
        </w:rPr>
        <w:t>文件</w:t>
      </w:r>
      <w:r>
        <w:rPr>
          <w:rFonts w:hint="eastAsia"/>
          <w:sz w:val="21"/>
          <w:szCs w:val="21"/>
          <w:highlight w:val="none"/>
        </w:rPr>
        <w:t>适用于</w:t>
      </w:r>
      <w:r>
        <w:rPr>
          <w:rFonts w:hint="eastAsia"/>
          <w:sz w:val="21"/>
          <w:szCs w:val="21"/>
          <w:highlight w:val="none"/>
          <w:lang w:val="en-US" w:eastAsia="zh-CN"/>
        </w:rPr>
        <w:t>规范安全评估人员从业要求、以及符合国产普通化妆品（以下称产品）备案所需的安全评估技术要求、测试方法要求和评估资料编写要求</w:t>
      </w:r>
      <w:r>
        <w:rPr>
          <w:rFonts w:hint="eastAsia"/>
        </w:rPr>
        <w:t>。</w:t>
      </w:r>
    </w:p>
    <w:p w14:paraId="42A0480E">
      <w:pPr>
        <w:pStyle w:val="104"/>
        <w:spacing w:before="240" w:after="240"/>
      </w:pPr>
      <w:bookmarkStart w:id="41" w:name="_Toc26718931"/>
      <w:bookmarkStart w:id="42" w:name="_Toc26986531"/>
      <w:bookmarkStart w:id="43" w:name="_Toc217394597"/>
      <w:bookmarkStart w:id="44" w:name="_Toc26986772"/>
      <w:bookmarkStart w:id="45" w:name="_Toc9719296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A2E3633B5F6145E9A016ED5043EFD8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9F912A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6EAB39">
      <w:pPr>
        <w:pStyle w:val="56"/>
        <w:ind w:firstLine="420"/>
        <w:rPr>
          <w:rFonts w:hint="eastAsia"/>
        </w:rPr>
      </w:pPr>
      <w:r>
        <w:rPr>
          <w:rFonts w:hint="eastAsia"/>
        </w:rPr>
        <w:t>《儿童化妆品监督管理规定》</w:t>
      </w:r>
    </w:p>
    <w:p w14:paraId="0EE1DFB3">
      <w:pPr>
        <w:pStyle w:val="56"/>
        <w:ind w:firstLine="420"/>
        <w:rPr>
          <w:rFonts w:hint="eastAsia"/>
        </w:rPr>
      </w:pPr>
      <w:r>
        <w:rPr>
          <w:rFonts w:hint="eastAsia"/>
        </w:rPr>
        <w:t>《儿童化妆品技术指导原则》</w:t>
      </w:r>
    </w:p>
    <w:p w14:paraId="01ADF1D6">
      <w:pPr>
        <w:pStyle w:val="56"/>
        <w:ind w:firstLine="420"/>
        <w:rPr>
          <w:rFonts w:hint="eastAsia"/>
        </w:rPr>
      </w:pPr>
      <w:r>
        <w:rPr>
          <w:rFonts w:hint="eastAsia"/>
          <w:lang w:val="en-US" w:eastAsia="zh-CN"/>
        </w:rPr>
        <w:t>《化妆品安全技术规范》</w:t>
      </w:r>
    </w:p>
    <w:p w14:paraId="6EDDC931">
      <w:pPr>
        <w:pStyle w:val="56"/>
        <w:ind w:firstLine="420"/>
        <w:rPr>
          <w:rFonts w:hint="eastAsia"/>
        </w:rPr>
      </w:pPr>
      <w:r>
        <w:rPr>
          <w:rFonts w:hint="eastAsia"/>
        </w:rPr>
        <w:t>《化妆品安全评估技术导则》</w:t>
      </w:r>
    </w:p>
    <w:p w14:paraId="2AE43266">
      <w:pPr>
        <w:pStyle w:val="56"/>
        <w:ind w:firstLine="420"/>
        <w:rPr>
          <w:rFonts w:hint="eastAsia"/>
        </w:rPr>
      </w:pPr>
      <w:r>
        <w:rPr>
          <w:rFonts w:hint="eastAsia"/>
        </w:rPr>
        <w:t>《化妆品标签管理办法》</w:t>
      </w:r>
    </w:p>
    <w:p w14:paraId="49856D41">
      <w:pPr>
        <w:pStyle w:val="56"/>
        <w:ind w:firstLine="420"/>
        <w:rPr>
          <w:rFonts w:hint="eastAsia"/>
        </w:rPr>
      </w:pPr>
      <w:r>
        <w:rPr>
          <w:rFonts w:hint="eastAsia"/>
          <w:highlight w:val="none"/>
          <w:lang w:val="en-US" w:eastAsia="zh-CN"/>
        </w:rPr>
        <w:t>《化妆品风险物质识别与评估技术指导原则》</w:t>
      </w:r>
    </w:p>
    <w:p w14:paraId="4E85B126">
      <w:pPr>
        <w:pStyle w:val="56"/>
        <w:ind w:firstLine="420"/>
        <w:rPr>
          <w:rFonts w:hint="eastAsia"/>
        </w:rPr>
      </w:pPr>
      <w:r>
        <w:rPr>
          <w:rFonts w:hint="eastAsia"/>
        </w:rPr>
        <w:t>《化妆品原料数据使用指南》</w:t>
      </w:r>
    </w:p>
    <w:p w14:paraId="280EF083">
      <w:pPr>
        <w:pStyle w:val="56"/>
        <w:ind w:firstLine="420"/>
        <w:rPr>
          <w:rFonts w:hint="eastAsia" w:hAnsi="Times New Roman" w:eastAsia="宋体" w:cs="Times New Roman"/>
          <w:lang w:val="en-US" w:eastAsia="zh-CN"/>
        </w:rPr>
      </w:pPr>
      <w:r>
        <w:rPr>
          <w:rFonts w:hint="eastAsia" w:hAnsi="Times New Roman" w:cs="Times New Roman"/>
          <w:lang w:val="en-US" w:eastAsia="zh-CN"/>
        </w:rPr>
        <w:t>《</w:t>
      </w:r>
      <w:r>
        <w:rPr>
          <w:rFonts w:hint="eastAsia" w:hAnsi="Times New Roman" w:eastAsia="宋体" w:cs="Times New Roman"/>
          <w:lang w:val="en-US" w:eastAsia="zh-CN"/>
        </w:rPr>
        <w:t>化妆品注册备案资料管理规定</w:t>
      </w:r>
      <w:r>
        <w:rPr>
          <w:rFonts w:hint="eastAsia" w:hAnsi="Times New Roman" w:cs="Times New Roman"/>
          <w:lang w:val="en-US" w:eastAsia="zh-CN"/>
        </w:rPr>
        <w:t>》</w:t>
      </w:r>
    </w:p>
    <w:p w14:paraId="36D85334">
      <w:pPr>
        <w:pStyle w:val="56"/>
        <w:ind w:firstLine="420"/>
        <w:rPr>
          <w:rFonts w:hint="eastAsia"/>
          <w:lang w:val="en-US" w:eastAsia="zh-CN"/>
        </w:rPr>
      </w:pPr>
      <w:r>
        <w:rPr>
          <w:rFonts w:hint="eastAsia"/>
          <w:lang w:val="en-US" w:eastAsia="zh-CN"/>
        </w:rPr>
        <w:t>《已使用化妆品原料目录》</w:t>
      </w:r>
    </w:p>
    <w:p w14:paraId="3647F6DB">
      <w:pPr>
        <w:pStyle w:val="56"/>
        <w:ind w:firstLine="420"/>
        <w:rPr>
          <w:rFonts w:hint="eastAsia"/>
          <w:highlight w:val="none"/>
          <w:lang w:val="en-US" w:eastAsia="zh-CN"/>
        </w:rPr>
      </w:pPr>
      <w:r>
        <w:rPr>
          <w:rFonts w:hint="eastAsia"/>
          <w:highlight w:val="none"/>
          <w:lang w:val="en-US" w:eastAsia="zh-CN"/>
        </w:rPr>
        <w:t>《已上市产品原料使用信息》</w:t>
      </w:r>
    </w:p>
    <w:p w14:paraId="41404570">
      <w:pPr>
        <w:pStyle w:val="56"/>
        <w:ind w:firstLine="420"/>
        <w:rPr>
          <w:rFonts w:hint="eastAsia"/>
          <w:lang w:val="en-US" w:eastAsia="zh-CN"/>
        </w:rPr>
      </w:pPr>
      <w:r>
        <w:rPr>
          <w:rFonts w:hint="eastAsia"/>
          <w:lang w:val="en-US" w:eastAsia="zh-CN"/>
        </w:rPr>
        <w:t>《国际化妆品安全评估数据索引》</w:t>
      </w:r>
    </w:p>
    <w:p w14:paraId="78DD29FB">
      <w:pPr>
        <w:pStyle w:val="104"/>
        <w:spacing w:before="240" w:after="240"/>
      </w:pPr>
      <w:bookmarkStart w:id="46" w:name="_Toc97192966"/>
      <w:bookmarkStart w:id="47" w:name="_Toc217394598"/>
      <w:r>
        <w:rPr>
          <w:rFonts w:hint="eastAsia"/>
          <w:szCs w:val="21"/>
        </w:rPr>
        <w:t>术语和定义</w:t>
      </w:r>
      <w:bookmarkEnd w:id="46"/>
      <w:bookmarkEnd w:id="47"/>
    </w:p>
    <w:sdt>
      <w:sdtPr>
        <w:id w:val="-1909835108"/>
        <w:placeholder>
          <w:docPart w:val="735C6DACE121440D8BB3C62477A3F2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7A073ED">
          <w:pPr>
            <w:pStyle w:val="56"/>
            <w:ind w:firstLine="420"/>
          </w:pPr>
          <w:bookmarkStart w:id="48" w:name="_Toc26986532"/>
          <w:bookmarkEnd w:id="48"/>
          <w:r>
            <w:rPr>
              <w:rFonts w:ascii="宋体" w:hAnsi="Times New Roman" w:eastAsia="宋体" w:cs="Times New Roman"/>
              <w:sz w:val="21"/>
              <w:lang w:val="en-US" w:eastAsia="zh-CN" w:bidi="ar-SA"/>
            </w:rPr>
            <w:t>下列术语和定义适用于本文件。</w:t>
          </w:r>
        </w:p>
      </w:sdtContent>
    </w:sdt>
    <w:p w14:paraId="6CE3D502">
      <w:pPr>
        <w:pStyle w:val="105"/>
        <w:spacing w:before="120" w:after="120"/>
      </w:pPr>
      <w:bookmarkStart w:id="49" w:name="_Toc217394599"/>
    </w:p>
    <w:p w14:paraId="15D66A32">
      <w:pPr>
        <w:pStyle w:val="104"/>
        <w:numPr>
          <w:ilvl w:val="1"/>
          <w:numId w:val="0"/>
        </w:numPr>
        <w:spacing w:before="240" w:after="240"/>
        <w:ind w:leftChars="0"/>
        <w:rPr>
          <w:rFonts w:hint="eastAsia"/>
          <w:lang w:val="en-US" w:eastAsia="zh-CN"/>
        </w:rPr>
      </w:pPr>
      <w:r>
        <w:rPr>
          <w:rFonts w:hint="eastAsia"/>
          <w:lang w:val="en-US" w:eastAsia="zh-CN"/>
        </w:rPr>
        <w:t xml:space="preserve">    </w:t>
      </w:r>
      <w:r>
        <w:rPr>
          <w:rFonts w:hint="eastAsia" w:ascii="黑体" w:hAnsi="黑体" w:eastAsia="黑体" w:cs="黑体"/>
          <w:sz w:val="21"/>
          <w:szCs w:val="21"/>
          <w:lang w:val="en-US" w:eastAsia="zh-CN"/>
        </w:rPr>
        <w:t>化妆品 cosmetics</w:t>
      </w:r>
    </w:p>
    <w:p w14:paraId="660CF372">
      <w:pPr>
        <w:pStyle w:val="56"/>
        <w:rPr>
          <w:rFonts w:hint="eastAsia"/>
          <w:lang w:val="en-US" w:eastAsia="zh-CN"/>
        </w:rPr>
      </w:pPr>
      <w:r>
        <w:rPr>
          <w:rFonts w:hint="eastAsia"/>
        </w:rPr>
        <w:t>以涂擦、喷洒或者其他类似方法，施用于皮肤、毛发、指甲、口唇等人体表面，以清洁、保护、美化、修饰为目的的日用化学工业产品</w:t>
      </w:r>
      <w:r>
        <w:rPr>
          <w:rFonts w:hint="eastAsia"/>
          <w:lang w:eastAsia="zh-CN"/>
        </w:rPr>
        <w:t>。</w:t>
      </w:r>
    </w:p>
    <w:p w14:paraId="3CDB7B70">
      <w:pPr>
        <w:pStyle w:val="105"/>
        <w:spacing w:before="120" w:after="120"/>
      </w:pPr>
    </w:p>
    <w:p w14:paraId="2D7C8D3E">
      <w:pPr>
        <w:pStyle w:val="104"/>
        <w:numPr>
          <w:ilvl w:val="1"/>
          <w:numId w:val="0"/>
        </w:numPr>
        <w:spacing w:before="240" w:after="240"/>
        <w:ind w:leftChars="0"/>
        <w:rPr>
          <w:rFonts w:hint="eastAsia"/>
          <w:lang w:val="en-US" w:eastAsia="zh-CN"/>
        </w:rPr>
      </w:pPr>
      <w:r>
        <w:rPr>
          <w:rFonts w:hint="eastAsia"/>
          <w:lang w:val="en-US" w:eastAsia="zh-CN"/>
        </w:rPr>
        <w:t xml:space="preserve">    </w:t>
      </w:r>
      <w:r>
        <w:rPr>
          <w:rFonts w:hint="eastAsia" w:ascii="黑体" w:hAnsi="黑体" w:eastAsia="黑体" w:cs="黑体"/>
          <w:i w:val="0"/>
          <w:iCs w:val="0"/>
          <w:caps w:val="0"/>
          <w:color w:val="333333"/>
          <w:spacing w:val="0"/>
          <w:sz w:val="21"/>
          <w:szCs w:val="21"/>
          <w:shd w:val="clear" w:fill="FFFFFF"/>
          <w:lang w:val="en-US" w:eastAsia="zh-CN"/>
        </w:rPr>
        <w:t>普通化妆品 general cosmetics</w:t>
      </w:r>
    </w:p>
    <w:p w14:paraId="4B0E268C">
      <w:pPr>
        <w:pStyle w:val="56"/>
        <w:rPr>
          <w:rFonts w:hint="default" w:ascii="Times New Roman" w:hAnsi="Times New Roman" w:eastAsia="宋体" w:cs="Times New Roman"/>
          <w:i w:val="0"/>
          <w:iCs w:val="0"/>
          <w:caps w:val="0"/>
          <w:color w:val="333333"/>
          <w:spacing w:val="0"/>
          <w:sz w:val="21"/>
          <w:szCs w:val="21"/>
          <w:shd w:val="clear" w:fill="FFFFFF"/>
        </w:rPr>
      </w:pPr>
      <w:r>
        <w:rPr>
          <w:rFonts w:hint="default" w:ascii="Times New Roman" w:hAnsi="Times New Roman" w:eastAsia="宋体" w:cs="Times New Roman"/>
          <w:i w:val="0"/>
          <w:iCs w:val="0"/>
          <w:caps w:val="0"/>
          <w:color w:val="333333"/>
          <w:spacing w:val="0"/>
          <w:sz w:val="21"/>
          <w:szCs w:val="21"/>
          <w:shd w:val="clear" w:fill="FFFFFF"/>
        </w:rPr>
        <w:t>特殊化妆品以外的化妆品为普通化妆品。</w:t>
      </w:r>
    </w:p>
    <w:p w14:paraId="3343D227">
      <w:pPr>
        <w:pStyle w:val="56"/>
        <w:rPr>
          <w:rFonts w:hint="eastAsia" w:ascii="Times New Roman" w:hAnsi="Times New Roman" w:eastAsia="宋体" w:cs="Times New Roman"/>
          <w:i w:val="0"/>
          <w:iCs w:val="0"/>
          <w:caps w:val="0"/>
          <w:color w:val="333333"/>
          <w:spacing w:val="0"/>
          <w:sz w:val="18"/>
          <w:szCs w:val="18"/>
          <w:shd w:val="clear" w:fill="FFFFFF"/>
          <w:lang w:val="en-US" w:eastAsia="zh-CN"/>
        </w:rPr>
      </w:pPr>
      <w:r>
        <w:rPr>
          <w:rFonts w:hint="eastAsia" w:ascii="黑体" w:hAnsi="黑体" w:eastAsia="黑体" w:cs="黑体"/>
          <w:i w:val="0"/>
          <w:iCs w:val="0"/>
          <w:caps w:val="0"/>
          <w:color w:val="333333"/>
          <w:spacing w:val="0"/>
          <w:sz w:val="18"/>
          <w:szCs w:val="18"/>
          <w:shd w:val="clear" w:fill="FFFFFF"/>
          <w:lang w:val="en-US" w:eastAsia="zh-CN"/>
        </w:rPr>
        <w:t>注：</w:t>
      </w:r>
      <w:r>
        <w:rPr>
          <w:rFonts w:hint="default" w:ascii="Times New Roman" w:hAnsi="Times New Roman" w:eastAsia="宋体" w:cs="Times New Roman"/>
          <w:i w:val="0"/>
          <w:iCs w:val="0"/>
          <w:caps w:val="0"/>
          <w:color w:val="333333"/>
          <w:spacing w:val="0"/>
          <w:sz w:val="18"/>
          <w:szCs w:val="18"/>
          <w:shd w:val="clear" w:fill="FFFFFF"/>
        </w:rPr>
        <w:t>用于染发、烫发、祛斑美白、防晒、防脱发的化妆品以及宣称新功效的化妆品为特殊化妆品。</w:t>
      </w:r>
    </w:p>
    <w:p w14:paraId="215631C7">
      <w:pPr>
        <w:pStyle w:val="105"/>
        <w:spacing w:before="120" w:after="120"/>
      </w:pPr>
    </w:p>
    <w:p w14:paraId="6969F4DC">
      <w:pPr>
        <w:pStyle w:val="104"/>
        <w:numPr>
          <w:ilvl w:val="1"/>
          <w:numId w:val="0"/>
        </w:numPr>
        <w:spacing w:before="240" w:after="240"/>
        <w:ind w:leftChars="0"/>
        <w:rPr>
          <w:rFonts w:hint="eastAsia"/>
          <w:lang w:val="en-US" w:eastAsia="zh-CN"/>
        </w:rPr>
      </w:pPr>
      <w:r>
        <w:rPr>
          <w:rFonts w:hint="eastAsia"/>
          <w:lang w:val="en-US" w:eastAsia="zh-CN"/>
        </w:rPr>
        <w:t xml:space="preserve">    </w:t>
      </w:r>
      <w:r>
        <w:rPr>
          <w:rFonts w:hint="eastAsia" w:ascii="黑体" w:hAnsi="黑体" w:eastAsia="黑体" w:cs="黑体"/>
          <w:i w:val="0"/>
          <w:iCs w:val="0"/>
          <w:caps w:val="0"/>
          <w:color w:val="333333"/>
          <w:spacing w:val="0"/>
          <w:sz w:val="21"/>
          <w:szCs w:val="21"/>
          <w:shd w:val="clear" w:fill="FFFFFF"/>
          <w:lang w:val="en-US" w:eastAsia="zh-CN"/>
        </w:rPr>
        <w:t>国产普通化妆品 domestic general cosmetics</w:t>
      </w:r>
    </w:p>
    <w:p w14:paraId="7F28356E">
      <w:pPr>
        <w:pStyle w:val="56"/>
        <w:rPr>
          <w:rFonts w:hint="eastAsia"/>
          <w:lang w:eastAsia="zh-CN"/>
        </w:rPr>
      </w:pPr>
      <w:r>
        <w:rPr>
          <w:rFonts w:hint="eastAsia"/>
        </w:rPr>
        <w:t>最后一道接触内容物的工序在境内完成的普通化妆品</w:t>
      </w:r>
      <w:r>
        <w:rPr>
          <w:rFonts w:hint="eastAsia"/>
          <w:lang w:eastAsia="zh-CN"/>
        </w:rPr>
        <w:t>。</w:t>
      </w:r>
    </w:p>
    <w:p w14:paraId="61D07BC0">
      <w:pPr>
        <w:pStyle w:val="56"/>
        <w:rPr>
          <w:rFonts w:hint="eastAsia" w:hAnsi="宋体" w:cs="宋体"/>
          <w:i w:val="0"/>
          <w:iCs w:val="0"/>
          <w:caps w:val="0"/>
          <w:color w:val="333333"/>
          <w:spacing w:val="0"/>
          <w:sz w:val="18"/>
          <w:szCs w:val="18"/>
          <w:shd w:val="clear" w:fill="FFFFFF"/>
          <w:lang w:val="en-US" w:eastAsia="zh-CN"/>
        </w:rPr>
      </w:pPr>
      <w:r>
        <w:rPr>
          <w:rFonts w:hint="eastAsia" w:ascii="黑体" w:hAnsi="黑体" w:eastAsia="黑体" w:cs="黑体"/>
          <w:i w:val="0"/>
          <w:iCs w:val="0"/>
          <w:caps w:val="0"/>
          <w:color w:val="333333"/>
          <w:spacing w:val="0"/>
          <w:sz w:val="18"/>
          <w:szCs w:val="18"/>
          <w:shd w:val="clear" w:fill="FFFFFF"/>
          <w:lang w:val="en-US" w:eastAsia="zh-CN"/>
        </w:rPr>
        <w:t>注：</w:t>
      </w:r>
      <w:r>
        <w:rPr>
          <w:rFonts w:hint="eastAsia" w:ascii="宋体" w:hAnsi="宋体" w:eastAsia="宋体" w:cs="宋体"/>
          <w:i w:val="0"/>
          <w:iCs w:val="0"/>
          <w:caps w:val="0"/>
          <w:color w:val="333333"/>
          <w:spacing w:val="0"/>
          <w:sz w:val="18"/>
          <w:szCs w:val="18"/>
          <w:shd w:val="clear" w:fill="FFFFFF"/>
          <w:lang w:val="en-US" w:eastAsia="zh-CN"/>
        </w:rPr>
        <w:t>在境外完成的为进口产品，在中国台湾、香港和澳门地区完成的参照进口产品管理</w:t>
      </w:r>
      <w:r>
        <w:rPr>
          <w:rFonts w:hint="eastAsia" w:hAnsi="宋体" w:cs="宋体"/>
          <w:i w:val="0"/>
          <w:iCs w:val="0"/>
          <w:caps w:val="0"/>
          <w:color w:val="333333"/>
          <w:spacing w:val="0"/>
          <w:sz w:val="18"/>
          <w:szCs w:val="18"/>
          <w:shd w:val="clear" w:fill="FFFFFF"/>
          <w:lang w:val="en-US" w:eastAsia="zh-CN"/>
        </w:rPr>
        <w:t>。</w:t>
      </w:r>
    </w:p>
    <w:p w14:paraId="4F76EAA0">
      <w:pPr>
        <w:pStyle w:val="105"/>
        <w:spacing w:before="120" w:after="120"/>
      </w:pPr>
    </w:p>
    <w:p w14:paraId="325FA1F2">
      <w:pPr>
        <w:pStyle w:val="104"/>
        <w:numPr>
          <w:ilvl w:val="1"/>
          <w:numId w:val="0"/>
        </w:numPr>
        <w:spacing w:before="240" w:after="240"/>
        <w:ind w:leftChars="0"/>
        <w:rPr>
          <w:rFonts w:hint="eastAsia"/>
          <w:lang w:val="en-US" w:eastAsia="zh-CN"/>
        </w:rPr>
      </w:pPr>
      <w:r>
        <w:rPr>
          <w:rFonts w:hint="eastAsia"/>
          <w:lang w:val="en-US" w:eastAsia="zh-CN"/>
        </w:rPr>
        <w:t xml:space="preserve">    </w:t>
      </w:r>
      <w:r>
        <w:rPr>
          <w:rFonts w:hint="eastAsia" w:ascii="黑体" w:hAnsi="黑体" w:eastAsia="黑体" w:cs="黑体"/>
          <w:sz w:val="21"/>
          <w:szCs w:val="21"/>
          <w:lang w:val="en-US" w:eastAsia="zh-CN"/>
        </w:rPr>
        <w:t>儿童化妆品 children’s cosmetics</w:t>
      </w:r>
    </w:p>
    <w:p w14:paraId="7D2647A4">
      <w:pPr>
        <w:pStyle w:val="56"/>
        <w:rPr>
          <w:rFonts w:hint="eastAsia"/>
          <w:lang w:eastAsia="zh-CN"/>
        </w:rPr>
      </w:pPr>
      <w:r>
        <w:rPr>
          <w:rFonts w:hint="eastAsia"/>
        </w:rPr>
        <w:t>适用于年龄在12周岁以下（含12周岁）儿童，具有清洁、保湿、爽身、防晒等功效的化妆品</w:t>
      </w:r>
      <w:r>
        <w:rPr>
          <w:rFonts w:hint="eastAsia"/>
          <w:lang w:eastAsia="zh-CN"/>
        </w:rPr>
        <w:t>。</w:t>
      </w:r>
    </w:p>
    <w:p w14:paraId="4429778D">
      <w:pPr>
        <w:pStyle w:val="56"/>
        <w:rPr>
          <w:rFonts w:hint="eastAsia"/>
          <w:highlight w:val="none"/>
          <w:lang w:val="en-US" w:eastAsia="zh-CN"/>
        </w:rPr>
      </w:pPr>
      <w:r>
        <w:rPr>
          <w:rFonts w:hint="eastAsia" w:ascii="黑体" w:hAnsi="黑体" w:eastAsia="黑体" w:cs="黑体"/>
          <w:i w:val="0"/>
          <w:iCs w:val="0"/>
          <w:caps w:val="0"/>
          <w:color w:val="333333"/>
          <w:spacing w:val="0"/>
          <w:sz w:val="18"/>
          <w:szCs w:val="18"/>
          <w:shd w:val="clear" w:fill="FFFFFF"/>
          <w:lang w:val="en-US" w:eastAsia="zh-CN"/>
        </w:rPr>
        <w:t>注：</w:t>
      </w:r>
      <w:r>
        <w:rPr>
          <w:rFonts w:hint="default" w:ascii="Times New Roman" w:hAnsi="Times New Roman" w:eastAsia="宋体" w:cs="Times New Roman"/>
          <w:i w:val="0"/>
          <w:iCs w:val="0"/>
          <w:caps w:val="0"/>
          <w:color w:val="333333"/>
          <w:spacing w:val="0"/>
          <w:sz w:val="18"/>
          <w:szCs w:val="18"/>
          <w:shd w:val="clear" w:fill="FFFFFF"/>
        </w:rPr>
        <w:t>主要依据产品标签宣称以及使用人群进行判定。产品标签标识“适用于全人群”“全家使用”等词语或者利用商标、图案、谐音、字母、汉语拼音、数字、符号、包装形式等暗示产品使用人群包含儿童的产品，应当遵循儿童化妆品的相</w:t>
      </w:r>
      <w:r>
        <w:rPr>
          <w:rFonts w:hint="default" w:ascii="Times New Roman" w:hAnsi="Times New Roman" w:eastAsia="宋体" w:cs="Times New Roman"/>
          <w:i w:val="0"/>
          <w:iCs w:val="0"/>
          <w:caps w:val="0"/>
          <w:color w:val="333333"/>
          <w:spacing w:val="0"/>
          <w:sz w:val="18"/>
          <w:szCs w:val="18"/>
          <w:highlight w:val="none"/>
          <w:shd w:val="clear" w:fill="FFFFFF"/>
        </w:rPr>
        <w:t>关法规和技术标准要求</w:t>
      </w:r>
    </w:p>
    <w:p w14:paraId="373330E6">
      <w:pPr>
        <w:pStyle w:val="105"/>
        <w:spacing w:before="120" w:after="120"/>
        <w:rPr>
          <w:highlight w:val="none"/>
        </w:rPr>
      </w:pPr>
    </w:p>
    <w:p w14:paraId="463004C0">
      <w:pPr>
        <w:pStyle w:val="104"/>
        <w:numPr>
          <w:ilvl w:val="1"/>
          <w:numId w:val="0"/>
        </w:numPr>
        <w:spacing w:before="240" w:after="240"/>
        <w:ind w:leftChars="0"/>
        <w:rPr>
          <w:rFonts w:hint="eastAsia"/>
          <w:highlight w:val="none"/>
          <w:lang w:val="en-US" w:eastAsia="zh-CN"/>
        </w:rPr>
      </w:pPr>
      <w:r>
        <w:rPr>
          <w:rFonts w:hint="eastAsia"/>
          <w:highlight w:val="none"/>
          <w:lang w:val="en-US" w:eastAsia="zh-CN"/>
        </w:rPr>
        <w:t xml:space="preserve">    </w:t>
      </w:r>
      <w:r>
        <w:rPr>
          <w:rFonts w:hint="eastAsia" w:ascii="黑体" w:hAnsi="黑体" w:eastAsia="黑体" w:cs="黑体"/>
          <w:sz w:val="21"/>
          <w:szCs w:val="21"/>
          <w:highlight w:val="none"/>
          <w:lang w:val="en-US" w:eastAsia="zh-CN"/>
        </w:rPr>
        <w:t>化妆品备案人 filing person of domestic general cosmetics</w:t>
      </w:r>
    </w:p>
    <w:p w14:paraId="6F95F184">
      <w:pPr>
        <w:pStyle w:val="56"/>
        <w:rPr>
          <w:rFonts w:hint="eastAsia"/>
          <w:highlight w:val="none"/>
          <w:lang w:val="en-US" w:eastAsia="zh-CN"/>
        </w:rPr>
      </w:pPr>
      <w:r>
        <w:rPr>
          <w:rFonts w:hint="eastAsia"/>
          <w:highlight w:val="none"/>
          <w:lang w:eastAsia="zh-CN"/>
        </w:rPr>
        <w:t>在中国境内，依法履行国产普通化妆品备案义务、对备案产品的质量安全负责的企业法人。</w:t>
      </w:r>
    </w:p>
    <w:p w14:paraId="6987DD26">
      <w:pPr>
        <w:pStyle w:val="105"/>
        <w:spacing w:before="120" w:after="120"/>
        <w:rPr>
          <w:highlight w:val="none"/>
        </w:rPr>
      </w:pPr>
    </w:p>
    <w:p w14:paraId="1A7712AF">
      <w:pPr>
        <w:pStyle w:val="104"/>
        <w:numPr>
          <w:ilvl w:val="1"/>
          <w:numId w:val="0"/>
        </w:numPr>
        <w:spacing w:before="240" w:after="240"/>
        <w:ind w:leftChars="0"/>
        <w:rPr>
          <w:rFonts w:hint="default"/>
          <w:highlight w:val="none"/>
          <w:lang w:val="en-US" w:eastAsia="zh-CN"/>
        </w:rPr>
      </w:pPr>
      <w:r>
        <w:rPr>
          <w:rFonts w:hint="eastAsia"/>
          <w:highlight w:val="none"/>
          <w:lang w:val="en-US" w:eastAsia="zh-CN"/>
        </w:rPr>
        <w:t xml:space="preserve">    </w:t>
      </w:r>
      <w:r>
        <w:rPr>
          <w:rFonts w:hint="eastAsia" w:ascii="黑体" w:hAnsi="黑体" w:eastAsia="黑体" w:cs="黑体"/>
          <w:sz w:val="21"/>
          <w:szCs w:val="21"/>
          <w:highlight w:val="none"/>
          <w:lang w:val="en-US" w:eastAsia="zh-CN"/>
        </w:rPr>
        <w:t>安全评估人员</w:t>
      </w:r>
      <w:r>
        <w:rPr>
          <w:rFonts w:hint="eastAsia" w:hAnsi="黑体" w:cs="黑体"/>
          <w:sz w:val="21"/>
          <w:szCs w:val="21"/>
          <w:highlight w:val="none"/>
          <w:lang w:val="en-US" w:eastAsia="zh-CN"/>
        </w:rPr>
        <w:t>s</w:t>
      </w:r>
      <w:r>
        <w:rPr>
          <w:rFonts w:hint="eastAsia" w:ascii="黑体" w:hAnsi="黑体" w:eastAsia="黑体" w:cs="黑体"/>
          <w:sz w:val="21"/>
          <w:szCs w:val="21"/>
          <w:highlight w:val="none"/>
          <w:lang w:val="en-US" w:eastAsia="zh-CN"/>
        </w:rPr>
        <w:t xml:space="preserve">afety </w:t>
      </w:r>
      <w:r>
        <w:rPr>
          <w:rFonts w:hint="eastAsia" w:hAnsi="黑体" w:cs="黑体"/>
          <w:sz w:val="21"/>
          <w:szCs w:val="21"/>
          <w:highlight w:val="none"/>
          <w:lang w:val="en-US" w:eastAsia="zh-CN"/>
        </w:rPr>
        <w:t>a</w:t>
      </w:r>
      <w:r>
        <w:rPr>
          <w:rFonts w:hint="eastAsia" w:ascii="黑体" w:hAnsi="黑体" w:eastAsia="黑体" w:cs="黑体"/>
          <w:sz w:val="21"/>
          <w:szCs w:val="21"/>
          <w:highlight w:val="none"/>
          <w:lang w:val="en-US" w:eastAsia="zh-CN"/>
        </w:rPr>
        <w:t>ssessmen</w:t>
      </w:r>
      <w:r>
        <w:rPr>
          <w:rFonts w:hint="eastAsia" w:hAnsi="黑体" w:cs="黑体"/>
          <w:sz w:val="21"/>
          <w:szCs w:val="21"/>
          <w:highlight w:val="none"/>
          <w:lang w:val="en-US" w:eastAsia="zh-CN"/>
        </w:rPr>
        <w:t xml:space="preserve">t technician </w:t>
      </w:r>
    </w:p>
    <w:p w14:paraId="0265E837">
      <w:pPr>
        <w:pStyle w:val="56"/>
        <w:rPr>
          <w:rFonts w:hint="eastAsia"/>
          <w:highlight w:val="none"/>
          <w:lang w:val="en-US" w:eastAsia="zh-CN"/>
        </w:rPr>
      </w:pPr>
      <w:r>
        <w:rPr>
          <w:rFonts w:hint="eastAsia" w:ascii="宋体" w:hAnsi="宋体" w:eastAsia="宋体" w:cs="宋体"/>
          <w:highlight w:val="none"/>
          <w:lang w:val="en-US" w:eastAsia="zh-CN"/>
        </w:rPr>
        <w:t>符合《化妆品安全评估技术导则》</w:t>
      </w:r>
      <w:r>
        <w:rPr>
          <w:rFonts w:hint="eastAsia" w:hAnsi="宋体" w:cs="宋体"/>
          <w:highlight w:val="none"/>
          <w:lang w:val="en-US" w:eastAsia="zh-CN"/>
        </w:rPr>
        <w:t>中相关技术要求的、开展安全评估的技术人员。</w:t>
      </w:r>
    </w:p>
    <w:p w14:paraId="37B5AA35">
      <w:pPr>
        <w:pStyle w:val="105"/>
        <w:spacing w:before="120" w:after="120"/>
        <w:rPr>
          <w:highlight w:val="none"/>
        </w:rPr>
      </w:pPr>
    </w:p>
    <w:p w14:paraId="025D0C15">
      <w:pPr>
        <w:pStyle w:val="104"/>
        <w:numPr>
          <w:ilvl w:val="1"/>
          <w:numId w:val="0"/>
        </w:numPr>
        <w:spacing w:before="240" w:after="240"/>
        <w:ind w:leftChars="0"/>
        <w:rPr>
          <w:rFonts w:hint="default"/>
          <w:highlight w:val="none"/>
          <w:lang w:val="en-US" w:eastAsia="zh-CN"/>
        </w:rPr>
      </w:pPr>
      <w:r>
        <w:rPr>
          <w:rFonts w:hint="eastAsia"/>
          <w:highlight w:val="none"/>
          <w:lang w:val="en-US" w:eastAsia="zh-CN"/>
        </w:rPr>
        <w:t xml:space="preserve">    </w:t>
      </w:r>
      <w:r>
        <w:rPr>
          <w:rFonts w:hint="eastAsia" w:ascii="黑体" w:hAnsi="黑体" w:eastAsia="黑体" w:cs="黑体"/>
          <w:sz w:val="21"/>
          <w:szCs w:val="21"/>
          <w:highlight w:val="none"/>
          <w:lang w:val="en-US" w:eastAsia="zh-CN"/>
        </w:rPr>
        <w:t>安全评估资料</w:t>
      </w:r>
      <w:r>
        <w:rPr>
          <w:rFonts w:hint="eastAsia" w:hAnsi="黑体" w:cs="黑体"/>
          <w:sz w:val="21"/>
          <w:szCs w:val="21"/>
          <w:highlight w:val="none"/>
          <w:lang w:val="en-US" w:eastAsia="zh-CN"/>
        </w:rPr>
        <w:t>s</w:t>
      </w:r>
      <w:r>
        <w:rPr>
          <w:rFonts w:hint="eastAsia" w:ascii="黑体" w:hAnsi="黑体" w:eastAsia="黑体" w:cs="黑体"/>
          <w:sz w:val="21"/>
          <w:szCs w:val="21"/>
          <w:highlight w:val="none"/>
          <w:lang w:val="en-US" w:eastAsia="zh-CN"/>
        </w:rPr>
        <w:t xml:space="preserve">afety </w:t>
      </w:r>
      <w:r>
        <w:rPr>
          <w:rFonts w:hint="eastAsia" w:hAnsi="黑体" w:cs="黑体"/>
          <w:sz w:val="21"/>
          <w:szCs w:val="21"/>
          <w:highlight w:val="none"/>
          <w:lang w:val="en-US" w:eastAsia="zh-CN"/>
        </w:rPr>
        <w:t>a</w:t>
      </w:r>
      <w:r>
        <w:rPr>
          <w:rFonts w:hint="eastAsia" w:ascii="黑体" w:hAnsi="黑体" w:eastAsia="黑体" w:cs="黑体"/>
          <w:sz w:val="21"/>
          <w:szCs w:val="21"/>
          <w:highlight w:val="none"/>
          <w:lang w:val="en-US" w:eastAsia="zh-CN"/>
        </w:rPr>
        <w:t>ssessmen</w:t>
      </w:r>
      <w:r>
        <w:rPr>
          <w:rFonts w:hint="eastAsia" w:hAnsi="黑体" w:cs="黑体"/>
          <w:sz w:val="21"/>
          <w:szCs w:val="21"/>
          <w:highlight w:val="none"/>
          <w:lang w:val="en-US" w:eastAsia="zh-CN"/>
        </w:rPr>
        <w:t>t files</w:t>
      </w:r>
    </w:p>
    <w:p w14:paraId="71FD4064">
      <w:pPr>
        <w:pStyle w:val="56"/>
        <w:rPr>
          <w:rFonts w:hint="eastAsia" w:eastAsia="宋体"/>
          <w:highlight w:val="none"/>
          <w:lang w:eastAsia="zh-CN"/>
        </w:rPr>
      </w:pPr>
      <w:r>
        <w:rPr>
          <w:rFonts w:hint="eastAsia"/>
          <w:highlight w:val="none"/>
          <w:lang w:eastAsia="zh-CN"/>
        </w:rPr>
        <w:t>用于国产普通化妆品备案的安全评估报告、检测报告</w:t>
      </w:r>
      <w:r>
        <w:rPr>
          <w:rFonts w:hint="eastAsia" w:hAnsi="宋体" w:cs="宋体"/>
          <w:highlight w:val="none"/>
          <w:lang w:eastAsia="zh-CN"/>
        </w:rPr>
        <w:t>和</w:t>
      </w:r>
      <w:r>
        <w:rPr>
          <w:rFonts w:hint="eastAsia"/>
          <w:highlight w:val="none"/>
        </w:rPr>
        <w:t>基本结论</w:t>
      </w:r>
      <w:r>
        <w:rPr>
          <w:rFonts w:hint="eastAsia"/>
          <w:highlight w:val="none"/>
          <w:lang w:eastAsia="zh-CN"/>
        </w:rPr>
        <w:t>等文件</w:t>
      </w:r>
      <w:r>
        <w:rPr>
          <w:rFonts w:hint="eastAsia" w:ascii="宋体" w:hAnsi="宋体" w:eastAsia="宋体" w:cs="宋体"/>
          <w:highlight w:val="none"/>
        </w:rPr>
        <w:t>资料</w:t>
      </w:r>
      <w:r>
        <w:rPr>
          <w:rFonts w:hint="eastAsia" w:hAnsi="宋体" w:cs="宋体"/>
          <w:highlight w:val="none"/>
          <w:lang w:eastAsia="zh-CN"/>
        </w:rPr>
        <w:t>。</w:t>
      </w:r>
    </w:p>
    <w:bookmarkEnd w:id="49"/>
    <w:p w14:paraId="0C173B7B">
      <w:pPr>
        <w:pStyle w:val="104"/>
        <w:spacing w:before="240" w:after="240"/>
        <w:rPr>
          <w:highlight w:val="none"/>
        </w:rPr>
      </w:pPr>
      <w:r>
        <w:rPr>
          <w:rFonts w:hint="eastAsia"/>
          <w:highlight w:val="none"/>
        </w:rPr>
        <w:t>总体要求</w:t>
      </w:r>
    </w:p>
    <w:p w14:paraId="69789B20">
      <w:pPr>
        <w:pStyle w:val="105"/>
        <w:spacing w:before="120" w:after="120"/>
      </w:pPr>
      <w:r>
        <w:rPr>
          <w:rFonts w:hint="eastAsia" w:ascii="宋体" w:hAnsi="宋体" w:eastAsia="宋体" w:cs="宋体"/>
          <w:highlight w:val="none"/>
        </w:rPr>
        <w:t>安全评估人员应按照《化妆品安全评估技术导则》《化妆品注册备案资料管理规定》《儿童化妆品技术指导原则》</w:t>
      </w:r>
      <w:r>
        <w:rPr>
          <w:rFonts w:hint="eastAsia" w:ascii="宋体" w:hAnsi="宋体" w:eastAsia="宋体" w:cs="宋体"/>
        </w:rPr>
        <w:t>等文件要求，进行化妆品安全评估、</w:t>
      </w:r>
      <w:r>
        <w:rPr>
          <w:rFonts w:hint="eastAsia" w:ascii="宋体" w:hAnsi="宋体" w:eastAsia="宋体" w:cs="宋体"/>
          <w:lang w:eastAsia="zh-CN"/>
        </w:rPr>
        <w:t>检测</w:t>
      </w:r>
      <w:r>
        <w:rPr>
          <w:rFonts w:hint="eastAsia" w:ascii="宋体" w:hAnsi="宋体" w:eastAsia="宋体" w:cs="宋体"/>
        </w:rPr>
        <w:t>和安全评估资料编写，并确保安全评估资料的完整性、合规性和科学性性</w:t>
      </w:r>
      <w:r>
        <w:rPr>
          <w:rFonts w:hint="eastAsia"/>
        </w:rPr>
        <w:t>。</w:t>
      </w:r>
    </w:p>
    <w:p w14:paraId="01587C78">
      <w:pPr>
        <w:pStyle w:val="105"/>
        <w:spacing w:before="120" w:after="120"/>
      </w:pPr>
      <w:r>
        <w:rPr>
          <w:rFonts w:hint="eastAsia"/>
        </w:rPr>
        <w:t>安全评估资料完整性</w:t>
      </w:r>
    </w:p>
    <w:p w14:paraId="008FD8CC">
      <w:pPr>
        <w:pStyle w:val="56"/>
        <w:rPr>
          <w:rFonts w:hint="eastAsia"/>
          <w:lang w:eastAsia="zh-CN"/>
        </w:rPr>
      </w:pPr>
      <w:r>
        <w:rPr>
          <w:rFonts w:hint="eastAsia"/>
        </w:rPr>
        <w:t>应完成化妆品安全评估报告和/或化妆品安全评估基本结论。化妆品安全评估报告应包括摘要、产品简介、产品配方、配方设计原则(仅针对儿童化妆品)、配方中各成分的安全评估、可能存在的风险物质评估、风险控制措施或建议、安全评估结论、安全评估人员签名、安全评估人员简历、参考文献和附录等内容；化妆品安全评估基本结论应包括资料提交情形说明、化妆品安全评估摘要、化妆品安全评估结论和附件等内容</w:t>
      </w:r>
      <w:r>
        <w:rPr>
          <w:rFonts w:hint="eastAsia"/>
          <w:lang w:eastAsia="zh-CN"/>
        </w:rPr>
        <w:t>。</w:t>
      </w:r>
    </w:p>
    <w:p w14:paraId="271D23A1">
      <w:pPr>
        <w:pStyle w:val="105"/>
        <w:spacing w:before="120" w:after="120"/>
      </w:pPr>
      <w:r>
        <w:rPr>
          <w:rFonts w:hint="eastAsia"/>
        </w:rPr>
        <w:t>安全评估资料合规性</w:t>
      </w:r>
    </w:p>
    <w:p w14:paraId="5269C63E">
      <w:pPr>
        <w:pStyle w:val="56"/>
        <w:rPr>
          <w:rFonts w:hint="eastAsia" w:eastAsia="宋体"/>
          <w:lang w:eastAsia="zh-CN"/>
        </w:rPr>
      </w:pPr>
      <w:r>
        <w:rPr>
          <w:rFonts w:hint="eastAsia"/>
          <w:lang w:val="en-US" w:eastAsia="zh-CN"/>
        </w:rPr>
        <w:t>应检查</w:t>
      </w:r>
      <w:r>
        <w:rPr>
          <w:rFonts w:hint="eastAsia"/>
        </w:rPr>
        <w:t>安全评估报告封面的产品名称、使用方法、备案人名称</w:t>
      </w:r>
      <w:r>
        <w:rPr>
          <w:rFonts w:hint="eastAsia"/>
          <w:lang w:val="en-US" w:eastAsia="zh-CN"/>
        </w:rPr>
        <w:t>和备案相关附件应</w:t>
      </w:r>
      <w:r>
        <w:rPr>
          <w:rFonts w:hint="eastAsia"/>
        </w:rPr>
        <w:t>与</w:t>
      </w:r>
      <w:r>
        <w:rPr>
          <w:rFonts w:hint="eastAsia"/>
          <w:lang w:val="en-US" w:eastAsia="zh-CN"/>
        </w:rPr>
        <w:t>其提交</w:t>
      </w:r>
      <w:r>
        <w:rPr>
          <w:rFonts w:hint="eastAsia"/>
        </w:rPr>
        <w:t>产品备案</w:t>
      </w:r>
      <w:r>
        <w:rPr>
          <w:rFonts w:hint="eastAsia"/>
          <w:lang w:val="en-US" w:eastAsia="zh-CN"/>
        </w:rPr>
        <w:t>的资料一致</w:t>
      </w:r>
      <w:r>
        <w:rPr>
          <w:rFonts w:hint="eastAsia"/>
        </w:rPr>
        <w:t>；安全评估报告应有安全评估人员签字；附件的备案资料信息</w:t>
      </w:r>
      <w:r>
        <w:rPr>
          <w:rFonts w:hint="eastAsia"/>
          <w:lang w:eastAsia="zh-CN"/>
        </w:rPr>
        <w:t>应</w:t>
      </w:r>
      <w:r>
        <w:rPr>
          <w:rFonts w:hint="eastAsia"/>
        </w:rPr>
        <w:t>与备案产品相关信息保持一致；外文资料应提供中文翻译件</w:t>
      </w:r>
      <w:r>
        <w:rPr>
          <w:rFonts w:hint="eastAsia"/>
          <w:lang w:eastAsia="zh-CN"/>
        </w:rPr>
        <w:t>；</w:t>
      </w:r>
      <w:r>
        <w:rPr>
          <w:rFonts w:hint="eastAsia"/>
        </w:rPr>
        <w:t>安全评估报告及相关资料应逐页加盖备案人公章</w:t>
      </w:r>
      <w:r>
        <w:rPr>
          <w:rFonts w:hint="eastAsia"/>
          <w:lang w:eastAsia="zh-CN"/>
        </w:rPr>
        <w:t>。</w:t>
      </w:r>
    </w:p>
    <w:p w14:paraId="206C6A99">
      <w:pPr>
        <w:pStyle w:val="105"/>
        <w:spacing w:before="120" w:after="120"/>
      </w:pPr>
      <w:r>
        <w:rPr>
          <w:rFonts w:hint="eastAsia"/>
        </w:rPr>
        <w:t>安全评估资料</w:t>
      </w:r>
      <w:r>
        <w:rPr>
          <w:rFonts w:hint="eastAsia" w:ascii="黑体" w:hAnsi="黑体" w:eastAsia="黑体" w:cs="黑体"/>
        </w:rPr>
        <w:t>科学性</w:t>
      </w:r>
    </w:p>
    <w:p w14:paraId="0EB1FF02">
      <w:pPr>
        <w:pStyle w:val="56"/>
        <w:rPr>
          <w:rFonts w:hint="eastAsia"/>
          <w:lang w:eastAsia="zh-CN"/>
        </w:rPr>
      </w:pPr>
      <w:r>
        <w:rPr>
          <w:rFonts w:hint="eastAsia"/>
          <w:lang w:val="en-US" w:eastAsia="zh-CN"/>
        </w:rPr>
        <w:t>应对</w:t>
      </w:r>
      <w:r>
        <w:rPr>
          <w:rFonts w:hint="eastAsia"/>
        </w:rPr>
        <w:t>产品</w:t>
      </w:r>
      <w:r>
        <w:rPr>
          <w:rFonts w:hint="eastAsia"/>
          <w:lang w:val="en-US" w:eastAsia="zh-CN"/>
        </w:rPr>
        <w:t>做出明确的</w:t>
      </w:r>
      <w:r>
        <w:rPr>
          <w:rFonts w:hint="eastAsia"/>
        </w:rPr>
        <w:t>安全评估结论，</w:t>
      </w:r>
      <w:r>
        <w:rPr>
          <w:rFonts w:hint="eastAsia"/>
          <w:lang w:val="en-US" w:eastAsia="zh-CN"/>
        </w:rPr>
        <w:t>并提供</w:t>
      </w:r>
      <w:r>
        <w:rPr>
          <w:rFonts w:hint="eastAsia"/>
        </w:rPr>
        <w:t>应能支持安全评估结论</w:t>
      </w:r>
      <w:r>
        <w:rPr>
          <w:rFonts w:hint="eastAsia"/>
          <w:lang w:val="en-US" w:eastAsia="zh-CN"/>
        </w:rPr>
        <w:t>的文件资料</w:t>
      </w:r>
      <w:r>
        <w:rPr>
          <w:rFonts w:hint="eastAsia"/>
          <w:lang w:eastAsia="zh-CN"/>
        </w:rPr>
        <w:t>。</w:t>
      </w:r>
    </w:p>
    <w:p w14:paraId="3C3AFA96">
      <w:pPr>
        <w:pStyle w:val="104"/>
        <w:spacing w:before="240" w:after="240"/>
      </w:pPr>
      <w:r>
        <w:rPr>
          <w:rFonts w:hint="eastAsia"/>
        </w:rPr>
        <w:t>安全评估人员从业要求</w:t>
      </w:r>
    </w:p>
    <w:p w14:paraId="70AF77AD">
      <w:pPr>
        <w:pStyle w:val="105"/>
        <w:spacing w:before="120" w:after="120"/>
      </w:pPr>
      <w:r>
        <w:rPr>
          <w:rFonts w:hint="eastAsia"/>
        </w:rPr>
        <w:t>教育背景</w:t>
      </w:r>
    </w:p>
    <w:p w14:paraId="5C276D48">
      <w:pPr>
        <w:pStyle w:val="56"/>
        <w:rPr>
          <w:rFonts w:hint="eastAsia"/>
        </w:rPr>
      </w:pPr>
      <w:r>
        <w:rPr>
          <w:rFonts w:hint="eastAsia"/>
          <w:lang w:val="en-US" w:eastAsia="zh-CN"/>
        </w:rPr>
        <w:t>应具有医学、药学、生物学、化学或毒理学等化妆品质量安全相关专业知识。</w:t>
      </w:r>
    </w:p>
    <w:p w14:paraId="25CB29D2">
      <w:pPr>
        <w:pStyle w:val="105"/>
        <w:spacing w:before="120" w:after="120"/>
      </w:pPr>
      <w:r>
        <w:rPr>
          <w:rFonts w:hint="eastAsia"/>
        </w:rPr>
        <w:t>从业经历</w:t>
      </w:r>
    </w:p>
    <w:p w14:paraId="25B75146">
      <w:pPr>
        <w:pStyle w:val="56"/>
        <w:rPr>
          <w:rFonts w:hint="eastAsia"/>
        </w:rPr>
      </w:pPr>
      <w:r>
        <w:rPr>
          <w:rFonts w:hint="eastAsia" w:ascii="Times New Roman" w:cs="Times New Roman"/>
          <w:i w:val="0"/>
          <w:iCs w:val="0"/>
          <w:caps w:val="0"/>
          <w:color w:val="333333"/>
          <w:spacing w:val="0"/>
          <w:sz w:val="21"/>
          <w:szCs w:val="21"/>
          <w:highlight w:val="none"/>
          <w:shd w:val="clear" w:fill="FFFFFF"/>
          <w:lang w:val="en-US" w:eastAsia="zh-CN"/>
        </w:rPr>
        <w:t>应</w:t>
      </w:r>
      <w:r>
        <w:rPr>
          <w:rFonts w:hint="eastAsia"/>
          <w:lang w:val="en-US" w:eastAsia="zh-CN"/>
        </w:rPr>
        <w:t>了解化妆品成品或原料生产工程和质量安全控制要求，并具有五年以上相关专业从业经历。</w:t>
      </w:r>
    </w:p>
    <w:p w14:paraId="5689455F">
      <w:pPr>
        <w:pStyle w:val="105"/>
        <w:spacing w:before="120" w:after="120"/>
      </w:pPr>
      <w:r>
        <w:rPr>
          <w:rFonts w:hint="eastAsia"/>
        </w:rPr>
        <w:t>培训经历</w:t>
      </w:r>
    </w:p>
    <w:p w14:paraId="03E3D6B5">
      <w:pPr>
        <w:pStyle w:val="56"/>
        <w:rPr>
          <w:rFonts w:hint="eastAsia"/>
        </w:rPr>
      </w:pPr>
      <w:r>
        <w:rPr>
          <w:rFonts w:hint="eastAsia"/>
          <w:lang w:val="en-US" w:eastAsia="zh-CN"/>
        </w:rPr>
        <w:t>应每年参加1次及以上监管部门认可的化妆品安全评估培训，并具有培训记录。</w:t>
      </w:r>
    </w:p>
    <w:p w14:paraId="68ABC5E0">
      <w:pPr>
        <w:pStyle w:val="104"/>
        <w:spacing w:before="240" w:after="240"/>
      </w:pPr>
      <w:r>
        <w:rPr>
          <w:rFonts w:hint="eastAsia"/>
        </w:rPr>
        <w:t>安全评估过程</w:t>
      </w:r>
    </w:p>
    <w:p w14:paraId="614ABDE4">
      <w:pPr>
        <w:pStyle w:val="105"/>
        <w:spacing w:before="120" w:after="120"/>
      </w:pPr>
      <w:r>
        <w:rPr>
          <w:rFonts w:hint="eastAsia"/>
        </w:rPr>
        <w:t>评估启动与信息确认</w:t>
      </w:r>
    </w:p>
    <w:p w14:paraId="181CF165">
      <w:pPr>
        <w:pStyle w:val="162"/>
        <w:numPr>
          <w:ilvl w:val="2"/>
          <w:numId w:val="0"/>
        </w:numPr>
        <w:ind w:leftChars="0" w:firstLine="420" w:firstLineChars="200"/>
        <w:rPr>
          <w:rFonts w:hint="eastAsia"/>
          <w:lang w:eastAsia="zh-CN"/>
        </w:rPr>
      </w:pPr>
      <w:r>
        <w:rPr>
          <w:rFonts w:hint="eastAsia"/>
          <w:lang w:val="en-US" w:eastAsia="zh-CN"/>
        </w:rPr>
        <w:t>评估开始前，应</w:t>
      </w:r>
      <w:r>
        <w:t>确定产品全成分配方、使用方式（淋洗/驻留）、使用部位、适用人群及使用频率</w:t>
      </w:r>
      <w:r>
        <w:rPr>
          <w:rFonts w:hint="eastAsia"/>
          <w:lang w:eastAsia="zh-CN"/>
        </w:rPr>
        <w:t>。</w:t>
      </w:r>
    </w:p>
    <w:p w14:paraId="63329253">
      <w:pPr>
        <w:pStyle w:val="105"/>
        <w:spacing w:before="120" w:after="120"/>
      </w:pPr>
      <w:r>
        <w:rPr>
          <w:rFonts w:hint="eastAsia" w:ascii="黑体" w:hAnsi="黑体" w:eastAsia="黑体" w:cs="黑体"/>
          <w:sz w:val="21"/>
          <w:szCs w:val="21"/>
          <w:lang w:val="en-US" w:eastAsia="zh-CN"/>
        </w:rPr>
        <w:t>主要的数据类型</w:t>
      </w:r>
    </w:p>
    <w:p w14:paraId="29E7F752">
      <w:pPr>
        <w:pStyle w:val="162"/>
        <w:numPr>
          <w:ilvl w:val="2"/>
          <w:numId w:val="0"/>
        </w:numPr>
        <w:ind w:leftChars="0" w:firstLine="420" w:firstLineChars="200"/>
        <w:rPr>
          <w:rFonts w:hint="eastAsia"/>
          <w:lang w:val="en-US" w:eastAsia="zh-CN"/>
        </w:rPr>
      </w:pPr>
      <w:r>
        <w:rPr>
          <w:rFonts w:hint="eastAsia"/>
          <w:lang w:val="en-US" w:eastAsia="zh-CN"/>
        </w:rPr>
        <w:t>安全评估人员应按照《化妆品原料数据使用指南》要求，采用如下的</w:t>
      </w:r>
      <w:r>
        <w:t>主要</w:t>
      </w:r>
      <w:r>
        <w:rPr>
          <w:rFonts w:hint="eastAsia"/>
          <w:lang w:val="en-US" w:eastAsia="zh-CN"/>
        </w:rPr>
        <w:t>的</w:t>
      </w:r>
      <w:r>
        <w:t>原料数据类型</w:t>
      </w:r>
      <w:r>
        <w:rPr>
          <w:rFonts w:hint="eastAsia"/>
          <w:lang w:val="en-US" w:eastAsia="zh-CN"/>
        </w:rPr>
        <w:t>进行</w:t>
      </w:r>
      <w:r>
        <w:t>安全评估</w:t>
      </w:r>
      <w:r>
        <w:rPr>
          <w:rFonts w:hint="eastAsia"/>
          <w:lang w:eastAsia="zh-CN"/>
        </w:rPr>
        <w:t>，</w:t>
      </w:r>
      <w:r>
        <w:rPr>
          <w:rFonts w:hint="eastAsia"/>
          <w:lang w:val="en-US" w:eastAsia="zh-CN"/>
        </w:rPr>
        <w:t>数据类型的</w:t>
      </w:r>
      <w:r>
        <w:t>使用要求和需要提供的证明材料</w:t>
      </w:r>
      <w:r>
        <w:rPr>
          <w:rFonts w:hint="eastAsia"/>
          <w:lang w:val="en-US" w:eastAsia="zh-CN"/>
        </w:rPr>
        <w:t>应符合附录A要求：</w:t>
      </w:r>
    </w:p>
    <w:p w14:paraId="3BA804E7">
      <w:pPr>
        <w:pStyle w:val="174"/>
        <w:numPr>
          <w:ilvl w:val="0"/>
          <w:numId w:val="32"/>
        </w:numPr>
      </w:pPr>
      <w:r>
        <w:rPr>
          <w:rFonts w:hint="eastAsia" w:eastAsia="宋体"/>
          <w:lang w:val="en-US" w:eastAsia="zh-CN"/>
        </w:rPr>
        <w:t>《化妆品安全技术规范》中的限用组分、准用防腐剂、准用防晒剂、准用着色剂和准用染发剂</w:t>
      </w:r>
      <w:r>
        <w:rPr>
          <w:rFonts w:hint="eastAsia"/>
        </w:rPr>
        <w:t>；</w:t>
      </w:r>
    </w:p>
    <w:p w14:paraId="474E08CD">
      <w:pPr>
        <w:pStyle w:val="174"/>
      </w:pPr>
      <w:r>
        <w:rPr>
          <w:rFonts w:hint="eastAsia" w:eastAsia="宋体"/>
          <w:lang w:val="en-US" w:eastAsia="zh-CN"/>
        </w:rPr>
        <w:t>国际权威化妆品安全评估机构公布的评估结论</w:t>
      </w:r>
      <w:r>
        <w:rPr>
          <w:rFonts w:hint="eastAsia"/>
        </w:rPr>
        <w:t>；</w:t>
      </w:r>
    </w:p>
    <w:p w14:paraId="630D3A06">
      <w:pPr>
        <w:pStyle w:val="174"/>
      </w:pPr>
      <w:r>
        <w:rPr>
          <w:rFonts w:hint="eastAsia" w:eastAsia="宋体"/>
          <w:lang w:val="en-US" w:eastAsia="zh-CN"/>
        </w:rPr>
        <w:t>世界卫生组织（WHO）、联合国粮农组织（FAO）等权威机构已公布的安全限量或结论</w:t>
      </w:r>
      <w:r>
        <w:rPr>
          <w:rFonts w:hint="eastAsia" w:hAnsi="宋体" w:cs="宋体"/>
        </w:rPr>
        <w:t>；</w:t>
      </w:r>
    </w:p>
    <w:p w14:paraId="7B14269F">
      <w:pPr>
        <w:pStyle w:val="174"/>
      </w:pPr>
      <w:r>
        <w:rPr>
          <w:rFonts w:hint="eastAsia" w:eastAsia="宋体"/>
          <w:lang w:val="en-US" w:eastAsia="zh-CN"/>
        </w:rPr>
        <w:t>监管部门公布的已上市产品原料使用信息</w:t>
      </w:r>
      <w:r>
        <w:rPr>
          <w:rFonts w:hint="eastAsia" w:hAnsi="宋体" w:cs="宋体"/>
        </w:rPr>
        <w:t>；</w:t>
      </w:r>
    </w:p>
    <w:p w14:paraId="24682FED">
      <w:pPr>
        <w:pStyle w:val="174"/>
      </w:pPr>
      <w:r>
        <w:rPr>
          <w:rFonts w:hint="eastAsia" w:eastAsia="宋体"/>
          <w:lang w:val="en-US" w:eastAsia="zh-CN"/>
        </w:rPr>
        <w:t>原料3年使用历史</w:t>
      </w:r>
      <w:r>
        <w:rPr>
          <w:rFonts w:hint="eastAsia" w:hAnsi="宋体" w:cs="宋体"/>
        </w:rPr>
        <w:t>；</w:t>
      </w:r>
    </w:p>
    <w:p w14:paraId="10032C1E">
      <w:pPr>
        <w:pStyle w:val="174"/>
      </w:pPr>
      <w:r>
        <w:rPr>
          <w:rFonts w:hint="eastAsia" w:eastAsia="宋体"/>
          <w:lang w:val="en-US" w:eastAsia="zh-CN"/>
        </w:rPr>
        <w:t>安全食用历史</w:t>
      </w:r>
      <w:r>
        <w:rPr>
          <w:rFonts w:hint="eastAsia"/>
        </w:rPr>
        <w:t>；</w:t>
      </w:r>
    </w:p>
    <w:p w14:paraId="66542BD8">
      <w:pPr>
        <w:pStyle w:val="174"/>
        <w:rPr>
          <w:rFonts w:hint="eastAsia"/>
          <w:lang w:val="en-US" w:eastAsia="zh-CN"/>
        </w:rPr>
      </w:pPr>
      <w:r>
        <w:rPr>
          <w:rFonts w:hint="eastAsia" w:eastAsia="宋体"/>
          <w:lang w:val="en-US" w:eastAsia="zh-CN"/>
        </w:rPr>
        <w:t>结构和性质稳定的高分子聚合物（具有较高生物活性的原料除外）</w:t>
      </w:r>
      <w:r>
        <w:rPr>
          <w:rFonts w:hint="eastAsia"/>
        </w:rPr>
        <w:t>。</w:t>
      </w:r>
    </w:p>
    <w:p w14:paraId="63373AA9">
      <w:pPr>
        <w:pStyle w:val="105"/>
        <w:spacing w:before="120" w:after="120"/>
      </w:pPr>
      <w:r>
        <w:rPr>
          <w:rFonts w:hint="eastAsia"/>
        </w:rPr>
        <w:t>安全评估方法</w:t>
      </w:r>
    </w:p>
    <w:p w14:paraId="1B5D076F">
      <w:pPr>
        <w:pStyle w:val="162"/>
        <w:numPr>
          <w:ilvl w:val="2"/>
          <w:numId w:val="0"/>
        </w:numPr>
        <w:ind w:leftChars="0" w:firstLine="420" w:firstLineChars="200"/>
        <w:rPr>
          <w:rFonts w:hint="eastAsia"/>
          <w:lang w:eastAsia="zh-CN"/>
        </w:rPr>
      </w:pPr>
      <w:r>
        <w:rPr>
          <w:rFonts w:hint="eastAsia"/>
          <w:lang w:val="en-US" w:eastAsia="zh-CN"/>
        </w:rPr>
        <w:t>安全评估人员可参照《毒理学关注阈值（TTC）方法应用技术指南》《交叉参照（Read-across）方法应用技术指南》等文件，采用合适的方法对原料开展安全评估，并应对是否满足应用上述方法的前提条件进行分析说明</w:t>
      </w:r>
      <w:r>
        <w:rPr>
          <w:rFonts w:hint="eastAsia"/>
          <w:lang w:eastAsia="zh-CN"/>
        </w:rPr>
        <w:t>。</w:t>
      </w:r>
    </w:p>
    <w:p w14:paraId="0678B17A">
      <w:pPr>
        <w:pStyle w:val="105"/>
        <w:spacing w:before="120" w:after="120"/>
      </w:pPr>
      <w:r>
        <w:rPr>
          <w:rFonts w:hint="eastAsia"/>
        </w:rPr>
        <w:t>风险评估程序</w:t>
      </w:r>
    </w:p>
    <w:p w14:paraId="4A5D7FAB">
      <w:pPr>
        <w:pStyle w:val="162"/>
        <w:numPr>
          <w:ilvl w:val="2"/>
          <w:numId w:val="0"/>
        </w:numPr>
        <w:ind w:leftChars="0" w:firstLine="420" w:firstLineChars="200"/>
        <w:rPr>
          <w:rFonts w:hint="eastAsia"/>
          <w:lang w:eastAsia="zh-CN"/>
        </w:rPr>
      </w:pPr>
      <w:r>
        <w:rPr>
          <w:rFonts w:hint="eastAsia"/>
          <w:lang w:val="en-US" w:eastAsia="zh-CN"/>
        </w:rPr>
        <w:t>对于无法使用本文件6.2和6.3中任一数据类型或方法进行评估的原料，安全评估人员应按照《化妆品安全评估技术导则》的风险评估程序对原料开展危害识别、剂量反应关系评估、暴露评估和风险特征描述，以确保原料的使用安全</w:t>
      </w:r>
      <w:r>
        <w:rPr>
          <w:rFonts w:hint="eastAsia"/>
          <w:lang w:eastAsia="zh-CN"/>
        </w:rPr>
        <w:t>。</w:t>
      </w:r>
    </w:p>
    <w:p w14:paraId="6FCEA298">
      <w:pPr>
        <w:pStyle w:val="105"/>
        <w:spacing w:before="120" w:after="120"/>
      </w:pPr>
      <w:r>
        <w:rPr>
          <w:rFonts w:hint="eastAsia"/>
        </w:rPr>
        <w:t>化妆品终产品安全性测试</w:t>
      </w:r>
    </w:p>
    <w:p w14:paraId="61E92D46">
      <w:pPr>
        <w:pStyle w:val="162"/>
        <w:numPr>
          <w:ilvl w:val="2"/>
          <w:numId w:val="0"/>
        </w:numPr>
        <w:ind w:leftChars="0" w:firstLine="420" w:firstLineChars="200"/>
        <w:rPr>
          <w:rFonts w:hint="eastAsia"/>
          <w:highlight w:val="none"/>
          <w:lang w:eastAsia="zh-CN"/>
        </w:rPr>
      </w:pPr>
      <w:r>
        <w:rPr>
          <w:rFonts w:hint="eastAsia"/>
          <w:lang w:val="en-US" w:eastAsia="zh-CN"/>
        </w:rPr>
        <w:t>在对原料进行充分研究的基础上，如无法采用本文件6.2中任一数据类型进行安全评估，仅因缺少部分毒理学终点评估数据而不能够完成安全评估的，不超过配方成分总个数10%且含量较低的非特殊功</w:t>
      </w:r>
      <w:r>
        <w:rPr>
          <w:rFonts w:hint="eastAsia"/>
          <w:highlight w:val="none"/>
          <w:lang w:val="en-US" w:eastAsia="zh-CN"/>
        </w:rPr>
        <w:t>效原料，安全评估人员可参照《化妆品注册和备案检验工作规范》设置的毒理学试验项目和/或人体试验项目，在满足伦理的前提下开展产品的安全性测试，并对终产品的安全性进行综合评价分析</w:t>
      </w:r>
      <w:r>
        <w:rPr>
          <w:rFonts w:hint="eastAsia"/>
          <w:highlight w:val="none"/>
          <w:lang w:eastAsia="zh-CN"/>
        </w:rPr>
        <w:t>。</w:t>
      </w:r>
    </w:p>
    <w:p w14:paraId="3CE78BB9">
      <w:pPr>
        <w:pStyle w:val="105"/>
        <w:spacing w:before="120" w:after="120"/>
        <w:rPr>
          <w:highlight w:val="none"/>
        </w:rPr>
      </w:pPr>
      <w:r>
        <w:rPr>
          <w:rFonts w:hint="eastAsia"/>
          <w:highlight w:val="none"/>
        </w:rPr>
        <w:t>特定类型化妆品原料的安全评估</w:t>
      </w:r>
    </w:p>
    <w:p w14:paraId="0FB25B70">
      <w:pPr>
        <w:pStyle w:val="162"/>
        <w:numPr>
          <w:ilvl w:val="2"/>
          <w:numId w:val="0"/>
        </w:numPr>
        <w:ind w:leftChars="0" w:firstLine="420" w:firstLineChars="200"/>
        <w:rPr>
          <w:rFonts w:hint="eastAsia"/>
          <w:highlight w:val="none"/>
          <w:lang w:eastAsia="zh-CN"/>
        </w:rPr>
      </w:pPr>
      <w:r>
        <w:rPr>
          <w:rFonts w:hint="eastAsia"/>
          <w:highlight w:val="none"/>
          <w:lang w:val="en-US" w:eastAsia="zh-CN"/>
        </w:rPr>
        <w:t>7种常见的特定类型化妆品原料的安全评估，应符合如下要求：</w:t>
      </w:r>
    </w:p>
    <w:p w14:paraId="05BF1CF6">
      <w:pPr>
        <w:pStyle w:val="174"/>
        <w:numPr>
          <w:ilvl w:val="0"/>
          <w:numId w:val="33"/>
        </w:numPr>
      </w:pPr>
      <w:r>
        <w:rPr>
          <w:rFonts w:hint="eastAsia" w:eastAsia="宋体"/>
          <w:highlight w:val="none"/>
          <w:lang w:val="en-US" w:eastAsia="zh-CN"/>
        </w:rPr>
        <w:t>产品配方表“标准中文名称”栏中仅填写“香精”原料</w:t>
      </w:r>
      <w:r>
        <w:rPr>
          <w:rFonts w:hint="eastAsia"/>
          <w:highlight w:val="none"/>
          <w:lang w:val="en-US" w:eastAsia="zh-CN"/>
        </w:rPr>
        <w:t>：</w:t>
      </w:r>
      <w:r>
        <w:rPr>
          <w:rFonts w:hint="eastAsia" w:eastAsia="宋体"/>
          <w:highlight w:val="none"/>
          <w:lang w:val="en-US" w:eastAsia="zh-CN"/>
        </w:rPr>
        <w:t>应按照《</w:t>
      </w:r>
      <w:r>
        <w:rPr>
          <w:rFonts w:hint="eastAsia" w:eastAsia="宋体"/>
          <w:lang w:val="en-US" w:eastAsia="zh-CN"/>
        </w:rPr>
        <w:t>化妆品安全评估技术导则》的原则和要求对香精进行评估，或明确产品所用香精符合国际日用香料协会（IFRA）实践法规要求即IFRA证书、或符合我国相关（香精）国家标准；产品配方中存在具体香料组分时，应对每种香料组分进行安全评估</w:t>
      </w:r>
      <w:r>
        <w:rPr>
          <w:rFonts w:hint="eastAsia"/>
          <w:lang w:val="en-US" w:eastAsia="zh-CN"/>
        </w:rPr>
        <w:t>。</w:t>
      </w:r>
    </w:p>
    <w:p w14:paraId="043A51DB">
      <w:pPr>
        <w:pStyle w:val="174"/>
      </w:pPr>
      <w:r>
        <w:rPr>
          <w:rFonts w:hint="eastAsia" w:eastAsia="宋体"/>
          <w:lang w:val="en-US" w:eastAsia="zh-CN"/>
        </w:rPr>
        <w:t>产品配方中含有纳米原料</w:t>
      </w:r>
      <w:r>
        <w:rPr>
          <w:rFonts w:hint="eastAsia"/>
          <w:lang w:val="en-US" w:eastAsia="zh-CN"/>
        </w:rPr>
        <w:t>：</w:t>
      </w:r>
      <w:r>
        <w:rPr>
          <w:rFonts w:hint="eastAsia" w:eastAsia="宋体"/>
          <w:lang w:val="en-US" w:eastAsia="zh-CN"/>
        </w:rPr>
        <w:t>应明确包括纯度、晶型、初始粒径分布、表面涂层物质等信息的原料质量规格，并基于该原料的质量规格，对配方使用量下的纳米原料进行安全评估，同时应对评估所用的毒理学试验方法是否适用于纳米原料检测进行说明</w:t>
      </w:r>
      <w:r>
        <w:rPr>
          <w:rFonts w:hint="eastAsia"/>
          <w:lang w:val="en-US" w:eastAsia="zh-CN"/>
        </w:rPr>
        <w:t>。</w:t>
      </w:r>
    </w:p>
    <w:p w14:paraId="2D08F8CB">
      <w:pPr>
        <w:pStyle w:val="174"/>
        <w:rPr>
          <w:highlight w:val="none"/>
        </w:rPr>
      </w:pPr>
      <w:r>
        <w:rPr>
          <w:rFonts w:hint="eastAsia" w:eastAsia="宋体"/>
          <w:highlight w:val="none"/>
          <w:lang w:val="en-US" w:eastAsia="zh-CN"/>
        </w:rPr>
        <w:t>原料</w:t>
      </w:r>
      <w:r>
        <w:rPr>
          <w:rFonts w:hint="eastAsia"/>
          <w:highlight w:val="none"/>
          <w:lang w:val="en-US" w:eastAsia="zh-CN"/>
        </w:rPr>
        <w:t>：</w:t>
      </w:r>
      <w:r>
        <w:rPr>
          <w:rFonts w:hint="eastAsia" w:eastAsia="宋体"/>
          <w:highlight w:val="none"/>
          <w:lang w:val="en-US" w:eastAsia="zh-CN"/>
        </w:rPr>
        <w:t>应同时对不作为配方成分填报的极其微量成分逐一进行说明并进行充分的安全评估，确保该类成分不会影响原料的质量安全</w:t>
      </w:r>
      <w:r>
        <w:rPr>
          <w:rFonts w:hint="eastAsia"/>
          <w:highlight w:val="none"/>
          <w:lang w:val="en-US" w:eastAsia="zh-CN"/>
        </w:rPr>
        <w:t>。</w:t>
      </w:r>
    </w:p>
    <w:p w14:paraId="780EDF0F">
      <w:pPr>
        <w:pStyle w:val="174"/>
        <w:rPr>
          <w:highlight w:val="none"/>
        </w:rPr>
      </w:pPr>
      <w:r>
        <w:rPr>
          <w:rFonts w:hint="eastAsia" w:eastAsia="宋体"/>
          <w:highlight w:val="none"/>
          <w:lang w:val="en-US" w:eastAsia="zh-CN"/>
        </w:rPr>
        <w:t>产品中使用的安全监测期内新原料</w:t>
      </w:r>
      <w:r>
        <w:rPr>
          <w:rFonts w:hint="eastAsia"/>
          <w:highlight w:val="none"/>
          <w:lang w:val="en-US" w:eastAsia="zh-CN"/>
        </w:rPr>
        <w:t>：</w:t>
      </w:r>
      <w:r>
        <w:rPr>
          <w:rFonts w:hint="eastAsia" w:eastAsia="宋体"/>
          <w:highlight w:val="none"/>
          <w:lang w:val="en-US" w:eastAsia="zh-CN"/>
        </w:rPr>
        <w:t>应评估该原料的使用目的、使用或适用范围、使用浓度、使用限制和要求等是否符合新原料的技术要求</w:t>
      </w:r>
      <w:r>
        <w:rPr>
          <w:rFonts w:hint="eastAsia"/>
          <w:highlight w:val="none"/>
          <w:lang w:val="en-US" w:eastAsia="zh-CN"/>
        </w:rPr>
        <w:t>。</w:t>
      </w:r>
    </w:p>
    <w:p w14:paraId="17B64393">
      <w:pPr>
        <w:pStyle w:val="174"/>
      </w:pPr>
      <w:r>
        <w:rPr>
          <w:rFonts w:hint="eastAsia" w:eastAsia="宋体"/>
          <w:highlight w:val="none"/>
          <w:lang w:val="en-US" w:eastAsia="zh-CN"/>
        </w:rPr>
        <w:t>类别原料：应</w:t>
      </w:r>
      <w:r>
        <w:rPr>
          <w:rFonts w:hint="eastAsia" w:eastAsia="宋体"/>
          <w:lang w:val="en-US" w:eastAsia="zh-CN"/>
        </w:rPr>
        <w:t>明确类别原料的具体组分，选择正确的数据类型进行评估</w:t>
      </w:r>
      <w:r>
        <w:rPr>
          <w:rFonts w:hint="eastAsia" w:hAnsi="宋体" w:cs="宋体"/>
        </w:rPr>
        <w:t>；</w:t>
      </w:r>
    </w:p>
    <w:p w14:paraId="1298CB93">
      <w:pPr>
        <w:pStyle w:val="174"/>
      </w:pPr>
      <w:r>
        <w:rPr>
          <w:rFonts w:hint="eastAsia"/>
          <w:lang w:val="en-US" w:eastAsia="zh-CN"/>
        </w:rPr>
        <w:t>植物原料：对于可食用的植物，如来源于可食用提取部位的提取物在提取工艺上不涉及生物化学或化学反应、原有食物成分结构未发生改变的，在充分证明有安全食用历史的基础上，则该提取物可参考可食用植物部位的安全食用历史评估。</w:t>
      </w:r>
    </w:p>
    <w:p w14:paraId="58C26C3B">
      <w:pPr>
        <w:pStyle w:val="174"/>
        <w:rPr>
          <w:rFonts w:hint="eastAsia"/>
          <w:lang w:eastAsia="zh-CN"/>
        </w:rPr>
      </w:pPr>
      <w:r>
        <w:rPr>
          <w:rFonts w:hint="eastAsia" w:eastAsia="宋体"/>
          <w:lang w:val="en-US" w:eastAsia="zh-CN"/>
        </w:rPr>
        <w:t>变性剂：应对变性剂进行安全评估</w:t>
      </w:r>
      <w:r>
        <w:rPr>
          <w:rFonts w:hint="eastAsia"/>
        </w:rPr>
        <w:t>。</w:t>
      </w:r>
    </w:p>
    <w:p w14:paraId="13669D61">
      <w:pPr>
        <w:pStyle w:val="105"/>
        <w:spacing w:before="120" w:after="120"/>
      </w:pPr>
      <w:r>
        <w:rPr>
          <w:rFonts w:hint="eastAsia"/>
        </w:rPr>
        <w:t>特定类型化妆品原料的安全评估</w:t>
      </w:r>
    </w:p>
    <w:p w14:paraId="03483668">
      <w:pPr>
        <w:pStyle w:val="162"/>
        <w:numPr>
          <w:ilvl w:val="2"/>
          <w:numId w:val="0"/>
        </w:numPr>
        <w:ind w:leftChars="0" w:firstLine="420" w:firstLineChars="200"/>
        <w:rPr>
          <w:rFonts w:hint="eastAsia"/>
          <w:lang w:eastAsia="zh-CN"/>
        </w:rPr>
      </w:pPr>
      <w:r>
        <w:rPr>
          <w:rFonts w:hint="eastAsia"/>
          <w:lang w:val="en-US" w:eastAsia="zh-CN"/>
        </w:rPr>
        <w:t>5种常见的特定类型化妆品的安全评估，应符合如下要求：</w:t>
      </w:r>
    </w:p>
    <w:p w14:paraId="219C96DE">
      <w:pPr>
        <w:pStyle w:val="174"/>
        <w:numPr>
          <w:ilvl w:val="0"/>
          <w:numId w:val="34"/>
        </w:numPr>
        <w:rPr>
          <w:sz w:val="21"/>
          <w:szCs w:val="21"/>
        </w:rPr>
      </w:pPr>
      <w:r>
        <w:rPr>
          <w:rFonts w:hint="eastAsia" w:eastAsia="宋体"/>
          <w:sz w:val="21"/>
          <w:szCs w:val="21"/>
          <w:lang w:val="en-US" w:eastAsia="zh-CN"/>
        </w:rPr>
        <w:t>配合仪器使用的产品：除仅辅助涂擦的毛刷、气垫等以外，</w:t>
      </w:r>
      <w:r>
        <w:rPr>
          <w:rFonts w:hint="eastAsia"/>
          <w:sz w:val="21"/>
          <w:szCs w:val="21"/>
          <w:lang w:val="en-US" w:eastAsia="zh-CN"/>
        </w:rPr>
        <w:t>应</w:t>
      </w:r>
      <w:r>
        <w:rPr>
          <w:rFonts w:hint="eastAsia" w:eastAsia="宋体"/>
          <w:sz w:val="21"/>
          <w:szCs w:val="21"/>
          <w:lang w:val="en-US" w:eastAsia="zh-CN"/>
        </w:rPr>
        <w:t>配合仪器或者工具使用的产品，其产品安全评估过程中应评估配合仪器或者工具使用条件下的安全性；配合使用的仪器或者工具，不应具有化妆品功能，不应参与化妆品的再生产过程，不能改变化妆品与皮肤的作用方式和作用机理</w:t>
      </w:r>
      <w:r>
        <w:rPr>
          <w:rFonts w:hint="eastAsia"/>
          <w:sz w:val="21"/>
          <w:szCs w:val="21"/>
          <w:lang w:val="en-US" w:eastAsia="zh-CN"/>
        </w:rPr>
        <w:t>。</w:t>
      </w:r>
    </w:p>
    <w:p w14:paraId="7BD07113">
      <w:pPr>
        <w:pStyle w:val="174"/>
        <w:rPr>
          <w:sz w:val="21"/>
          <w:szCs w:val="21"/>
        </w:rPr>
      </w:pPr>
      <w:r>
        <w:rPr>
          <w:rFonts w:hint="eastAsia"/>
          <w:sz w:val="21"/>
          <w:szCs w:val="21"/>
          <w:lang w:val="en-US" w:eastAsia="zh-CN"/>
        </w:rPr>
        <w:t>两剂或两剂以上混合使用的产品：两剂或两剂以上混合使用的产品应按照说明书中的使用方法对混合后的各成分开展评估；当存在不同浓度、不同配比等与安全性相关的不同使用方法时，应对每一种情况分别评估；当使用方法中各部分也可单独使用时，应按照具体使用方法分别评估。</w:t>
      </w:r>
    </w:p>
    <w:p w14:paraId="6C471E8F">
      <w:pPr>
        <w:pStyle w:val="174"/>
        <w:rPr>
          <w:sz w:val="21"/>
          <w:szCs w:val="21"/>
          <w:highlight w:val="none"/>
        </w:rPr>
      </w:pPr>
      <w:r>
        <w:rPr>
          <w:rFonts w:hint="eastAsia"/>
          <w:sz w:val="21"/>
          <w:szCs w:val="21"/>
          <w:lang w:val="en-US" w:eastAsia="zh-CN"/>
        </w:rPr>
        <w:t>多色号产品：应按照色号分</w:t>
      </w:r>
      <w:r>
        <w:rPr>
          <w:rFonts w:hint="eastAsia"/>
          <w:sz w:val="21"/>
          <w:szCs w:val="21"/>
          <w:highlight w:val="none"/>
          <w:lang w:val="en-US" w:eastAsia="zh-CN"/>
        </w:rPr>
        <w:t>别进行安全评估，评估时应整合每个色号配方后进行评估。</w:t>
      </w:r>
    </w:p>
    <w:p w14:paraId="37F5CFC5">
      <w:pPr>
        <w:pStyle w:val="174"/>
        <w:rPr>
          <w:sz w:val="21"/>
          <w:szCs w:val="21"/>
        </w:rPr>
      </w:pPr>
      <w:r>
        <w:rPr>
          <w:rFonts w:hint="eastAsia"/>
          <w:sz w:val="21"/>
          <w:szCs w:val="21"/>
          <w:highlight w:val="none"/>
          <w:lang w:val="en-US" w:eastAsia="zh-CN"/>
        </w:rPr>
        <w:t>产品配方中含有推进剂的气雾罐产品：应将推进剂与内容物分开评估，内容物的评估浓度应为扣除推进剂后的浓度。此外，还应根据原料商</w:t>
      </w:r>
      <w:r>
        <w:rPr>
          <w:rFonts w:hint="eastAsia"/>
          <w:sz w:val="21"/>
          <w:szCs w:val="21"/>
          <w:lang w:val="en-US" w:eastAsia="zh-CN"/>
        </w:rPr>
        <w:t>提供的质量规格，评估推进剂是否符合《化妆品安全技术规范》的相关要求。</w:t>
      </w:r>
    </w:p>
    <w:p w14:paraId="0FF8B68B">
      <w:pPr>
        <w:pStyle w:val="174"/>
        <w:rPr>
          <w:sz w:val="21"/>
          <w:szCs w:val="21"/>
        </w:rPr>
      </w:pPr>
      <w:r>
        <w:rPr>
          <w:rFonts w:hint="eastAsia"/>
          <w:sz w:val="21"/>
          <w:szCs w:val="21"/>
          <w:lang w:val="en-US" w:eastAsia="zh-CN"/>
        </w:rPr>
        <w:t>儿童产品：除基本要求外，儿童化妆品还应提供配方设计原则，并符合《儿童化妆品监督管理规定》《化妆品安全评估技术导则》《儿童化妆品技术指导原则》中关于儿童化妆品的特殊要求。</w:t>
      </w:r>
    </w:p>
    <w:p w14:paraId="18D68863">
      <w:pPr>
        <w:pStyle w:val="56"/>
        <w:rPr>
          <w:rFonts w:hint="eastAsia"/>
          <w:lang w:eastAsia="zh-CN"/>
        </w:rPr>
      </w:pPr>
      <w:r>
        <w:rPr>
          <w:rFonts w:hint="eastAsia" w:ascii="黑体" w:hAnsi="黑体" w:eastAsia="黑体" w:cs="黑体"/>
          <w:i w:val="0"/>
          <w:iCs w:val="0"/>
          <w:caps w:val="0"/>
          <w:color w:val="333333"/>
          <w:spacing w:val="0"/>
          <w:sz w:val="18"/>
          <w:szCs w:val="18"/>
          <w:shd w:val="clear" w:fill="FFFFFF"/>
          <w:lang w:val="en-US" w:eastAsia="zh-CN"/>
        </w:rPr>
        <w:t>注：</w:t>
      </w:r>
      <w:r>
        <w:rPr>
          <w:rFonts w:hint="default" w:ascii="Times New Roman" w:hAnsi="Times New Roman" w:eastAsia="宋体" w:cs="Times New Roman"/>
          <w:i w:val="0"/>
          <w:iCs w:val="0"/>
          <w:caps w:val="0"/>
          <w:color w:val="333333"/>
          <w:spacing w:val="0"/>
          <w:sz w:val="18"/>
          <w:szCs w:val="18"/>
          <w:shd w:val="clear" w:fill="FFFFFF"/>
        </w:rPr>
        <w:t>在危害识别、暴露量计算等方面，应结合儿童生理特点，明确其配方设计的原则，并对配方使用原料的必要性进行说明，特别是香料、着色剂、防腐剂及表面活性剂等原料。儿童暴露剂量选择：儿童产品应按照产品设计和使用说明，使用相应儿童体重。</w:t>
      </w:r>
    </w:p>
    <w:p w14:paraId="10F3106A">
      <w:pPr>
        <w:pStyle w:val="104"/>
        <w:spacing w:before="240" w:after="240"/>
      </w:pPr>
      <w:r>
        <w:rPr>
          <w:rFonts w:hint="eastAsia"/>
          <w:szCs w:val="21"/>
          <w:lang w:val="en-US" w:eastAsia="zh-CN"/>
        </w:rPr>
        <w:t>测试方法要求</w:t>
      </w:r>
    </w:p>
    <w:p w14:paraId="740EFF84">
      <w:pPr>
        <w:pStyle w:val="105"/>
        <w:spacing w:before="120" w:after="120"/>
      </w:pPr>
      <w:r>
        <w:rPr>
          <w:rFonts w:hint="eastAsia"/>
        </w:rPr>
        <w:t>原料的毒理学终点评估</w:t>
      </w:r>
    </w:p>
    <w:p w14:paraId="4D35D0FF">
      <w:pPr>
        <w:pStyle w:val="56"/>
        <w:rPr>
          <w:rFonts w:hint="eastAsia"/>
          <w:lang w:val="en-US" w:eastAsia="zh-CN"/>
        </w:rPr>
      </w:pPr>
      <w:r>
        <w:rPr>
          <w:rFonts w:hint="eastAsia"/>
          <w:lang w:val="en-US" w:eastAsia="zh-CN"/>
        </w:rPr>
        <w:t>对于使用本文件6.4中风险评估程序进行评估的原料，应基于毒理学试验、临床研究、不良反应监测和人群流行病学研究等的结果，从原料的物理、化学和毒作用特征来确定其是否对人体健康存在潜在危害。毒理学终点的评估应符合附录B要求。</w:t>
      </w:r>
    </w:p>
    <w:p w14:paraId="5F612EFF">
      <w:pPr>
        <w:pStyle w:val="105"/>
        <w:spacing w:before="120" w:after="120"/>
      </w:pPr>
      <w:r>
        <w:rPr>
          <w:rFonts w:hint="eastAsia" w:ascii="黑体" w:hAnsi="黑体" w:eastAsia="黑体" w:cs="黑体"/>
          <w:sz w:val="21"/>
          <w:szCs w:val="21"/>
          <w:lang w:val="en-US" w:eastAsia="zh-CN"/>
        </w:rPr>
        <w:t>终产品安全性测试</w:t>
      </w:r>
    </w:p>
    <w:p w14:paraId="00A78C41">
      <w:pPr>
        <w:pStyle w:val="56"/>
        <w:rPr>
          <w:rFonts w:hint="eastAsia"/>
          <w:lang w:val="en-US" w:eastAsia="zh-CN"/>
        </w:rPr>
      </w:pPr>
      <w:r>
        <w:rPr>
          <w:rFonts w:hint="eastAsia"/>
          <w:lang w:val="en-US" w:eastAsia="zh-CN"/>
        </w:rPr>
        <w:t>终产品安全性测试应符合附录C的要求。</w:t>
      </w:r>
    </w:p>
    <w:p w14:paraId="4CAA41A5">
      <w:pPr>
        <w:pStyle w:val="105"/>
        <w:spacing w:before="120" w:after="120"/>
        <w:rPr>
          <w:highlight w:val="none"/>
        </w:rPr>
      </w:pPr>
      <w:r>
        <w:rPr>
          <w:rFonts w:hint="eastAsia" w:ascii="黑体" w:hAnsi="黑体" w:eastAsia="黑体" w:cs="黑体"/>
          <w:sz w:val="21"/>
          <w:szCs w:val="21"/>
          <w:lang w:val="en-US" w:eastAsia="zh-CN"/>
        </w:rPr>
        <w:t>防腐挑</w:t>
      </w:r>
      <w:r>
        <w:rPr>
          <w:rFonts w:hint="eastAsia" w:ascii="黑体" w:hAnsi="黑体" w:eastAsia="黑体" w:cs="黑体"/>
          <w:sz w:val="21"/>
          <w:szCs w:val="21"/>
          <w:highlight w:val="none"/>
          <w:lang w:val="en-US" w:eastAsia="zh-CN"/>
        </w:rPr>
        <w:t>战测试</w:t>
      </w:r>
    </w:p>
    <w:p w14:paraId="4C394F92">
      <w:pPr>
        <w:pStyle w:val="56"/>
        <w:rPr>
          <w:rFonts w:hint="eastAsia"/>
          <w:highlight w:val="none"/>
          <w:lang w:val="en-US" w:eastAsia="zh-CN"/>
        </w:rPr>
      </w:pPr>
      <w:r>
        <w:rPr>
          <w:rFonts w:hint="eastAsia"/>
          <w:highlight w:val="none"/>
          <w:lang w:val="en-US" w:eastAsia="zh-CN"/>
        </w:rPr>
        <w:t>防腐挑战测试可参考附录D的要求。</w:t>
      </w:r>
    </w:p>
    <w:p w14:paraId="3FBFA3A7">
      <w:pPr>
        <w:pStyle w:val="105"/>
        <w:spacing w:before="120" w:after="120"/>
        <w:rPr>
          <w:highlight w:val="none"/>
        </w:rPr>
      </w:pPr>
      <w:r>
        <w:rPr>
          <w:rFonts w:hint="eastAsia"/>
          <w:highlight w:val="none"/>
        </w:rPr>
        <w:t>产品的稳定性测试</w:t>
      </w:r>
    </w:p>
    <w:p w14:paraId="28D908AE">
      <w:pPr>
        <w:pStyle w:val="56"/>
        <w:rPr>
          <w:rFonts w:hint="eastAsia"/>
          <w:highlight w:val="none"/>
          <w:lang w:val="en-US" w:eastAsia="zh-CN"/>
        </w:rPr>
      </w:pPr>
      <w:r>
        <w:rPr>
          <w:rFonts w:hint="eastAsia"/>
          <w:highlight w:val="none"/>
          <w:lang w:val="en-US" w:eastAsia="zh-CN"/>
        </w:rPr>
        <w:t>产品的稳定性测试可参考附录E的要求。</w:t>
      </w:r>
    </w:p>
    <w:p w14:paraId="7D2EF4E0">
      <w:pPr>
        <w:pStyle w:val="105"/>
        <w:spacing w:before="120" w:after="120"/>
        <w:rPr>
          <w:highlight w:val="none"/>
        </w:rPr>
      </w:pPr>
      <w:r>
        <w:rPr>
          <w:rFonts w:hint="eastAsia"/>
          <w:highlight w:val="none"/>
        </w:rPr>
        <w:t>产品与包材的相容性测试</w:t>
      </w:r>
    </w:p>
    <w:p w14:paraId="696C5383">
      <w:pPr>
        <w:pStyle w:val="56"/>
        <w:rPr>
          <w:rFonts w:hint="eastAsia"/>
          <w:highlight w:val="none"/>
          <w:lang w:val="en-US" w:eastAsia="zh-CN"/>
        </w:rPr>
      </w:pPr>
      <w:r>
        <w:rPr>
          <w:rFonts w:hint="eastAsia"/>
          <w:highlight w:val="none"/>
          <w:lang w:val="en-US" w:eastAsia="zh-CN"/>
        </w:rPr>
        <w:t>产品与包材的相容性测试可参考附录F的要求。</w:t>
      </w:r>
    </w:p>
    <w:p w14:paraId="63A37477">
      <w:pPr>
        <w:pStyle w:val="56"/>
        <w:rPr>
          <w:rFonts w:hint="eastAsia"/>
          <w:highlight w:val="none"/>
          <w:lang w:val="en-US" w:eastAsia="zh-CN"/>
        </w:rPr>
      </w:pPr>
    </w:p>
    <w:p w14:paraId="55EA438C">
      <w:pPr>
        <w:pStyle w:val="56"/>
        <w:rPr>
          <w:rFonts w:hint="eastAsia"/>
          <w:highlight w:val="none"/>
          <w:lang w:val="en-US" w:eastAsia="zh-CN"/>
        </w:rPr>
      </w:pPr>
    </w:p>
    <w:p w14:paraId="3F476397">
      <w:pPr>
        <w:pStyle w:val="104"/>
        <w:spacing w:before="240" w:after="240"/>
      </w:pPr>
      <w:r>
        <w:rPr>
          <w:rFonts w:hint="eastAsia"/>
        </w:rPr>
        <w:t>安全评估报告编写</w:t>
      </w:r>
    </w:p>
    <w:p w14:paraId="5D1E4D15">
      <w:pPr>
        <w:pStyle w:val="105"/>
        <w:spacing w:before="120" w:after="120"/>
      </w:pPr>
      <w:r>
        <w:rPr>
          <w:rFonts w:hint="eastAsia" w:ascii="黑体" w:hAnsi="黑体" w:eastAsia="黑体" w:cs="黑体"/>
          <w:sz w:val="21"/>
          <w:szCs w:val="21"/>
          <w:lang w:val="en-US" w:eastAsia="zh-CN"/>
        </w:rPr>
        <w:t>封面</w:t>
      </w:r>
    </w:p>
    <w:p w14:paraId="41CD6FD5">
      <w:pPr>
        <w:pStyle w:val="56"/>
        <w:rPr>
          <w:rFonts w:hint="eastAsia"/>
          <w:lang w:val="en-US" w:eastAsia="zh-CN"/>
        </w:rPr>
      </w:pPr>
      <w:r>
        <w:rPr>
          <w:rFonts w:hint="eastAsia"/>
          <w:lang w:val="en-US" w:eastAsia="zh-CN"/>
        </w:rPr>
        <w:t>封面应明确产品名称、备案人名称、地址、评估单位、评估人和评估日期。封面载明的内容应与其他资料一致。评估日期不应早于产品检验报告及附录中其他资料的日期。</w:t>
      </w:r>
    </w:p>
    <w:p w14:paraId="6A0BC8A0">
      <w:pPr>
        <w:pStyle w:val="105"/>
        <w:spacing w:before="120" w:after="120"/>
      </w:pPr>
      <w:r>
        <w:rPr>
          <w:rFonts w:hint="eastAsia" w:ascii="黑体" w:hAnsi="黑体" w:eastAsia="黑体" w:cs="黑体"/>
          <w:sz w:val="21"/>
          <w:szCs w:val="21"/>
          <w:lang w:val="en-US" w:eastAsia="zh-CN"/>
        </w:rPr>
        <w:t>摘要</w:t>
      </w:r>
    </w:p>
    <w:p w14:paraId="46647A94">
      <w:pPr>
        <w:pStyle w:val="56"/>
        <w:rPr>
          <w:rFonts w:hint="eastAsia"/>
          <w:lang w:val="en-US" w:eastAsia="zh-CN"/>
        </w:rPr>
      </w:pPr>
      <w:r>
        <w:rPr>
          <w:rFonts w:hint="eastAsia"/>
          <w:lang w:val="en-US" w:eastAsia="zh-CN"/>
        </w:rPr>
        <w:t>应包括产品简要介绍，并明确依据《化妆品安全评估技术导则》有关规定对产品中的所有原料和风险物质进行了评估，获得正确的评估结论。其中，摘要载明的内容应与其他资料一致。</w:t>
      </w:r>
    </w:p>
    <w:p w14:paraId="0B8CC7DD">
      <w:pPr>
        <w:pStyle w:val="105"/>
        <w:spacing w:before="120" w:after="120"/>
      </w:pPr>
      <w:r>
        <w:rPr>
          <w:rFonts w:hint="eastAsia" w:ascii="黑体" w:hAnsi="黑体" w:eastAsia="黑体" w:cs="黑体"/>
          <w:sz w:val="21"/>
          <w:szCs w:val="21"/>
          <w:lang w:val="en-US" w:eastAsia="zh-CN"/>
        </w:rPr>
        <w:t>产品简介</w:t>
      </w:r>
    </w:p>
    <w:p w14:paraId="3BB8B285">
      <w:pPr>
        <w:pStyle w:val="56"/>
        <w:rPr>
          <w:rFonts w:hint="eastAsia"/>
          <w:lang w:val="en-US" w:eastAsia="zh-CN"/>
        </w:rPr>
      </w:pPr>
      <w:r>
        <w:rPr>
          <w:rFonts w:hint="eastAsia"/>
          <w:lang w:val="en-US" w:eastAsia="zh-CN"/>
        </w:rPr>
        <w:t>应包括产品名称、使用方法、日均使用量、产品驻留因子、暴露剂量等内容；内容应完整，与其他申报备案所需的资料一致，具体要求如下：</w:t>
      </w:r>
    </w:p>
    <w:p w14:paraId="5BDDB3BE">
      <w:pPr>
        <w:pStyle w:val="174"/>
        <w:numPr>
          <w:ilvl w:val="0"/>
          <w:numId w:val="35"/>
        </w:numPr>
        <w:rPr>
          <w:highlight w:val="none"/>
        </w:rPr>
      </w:pPr>
      <w:r>
        <w:rPr>
          <w:rFonts w:hint="eastAsia" w:eastAsia="宋体"/>
          <w:lang w:val="en-US" w:eastAsia="zh-CN"/>
        </w:rPr>
        <w:t>日均使用量：产品使用量/暴露量应合理，并提供参考依据。产品使用量/暴露量依据可参考《欧盟化妆品及其成分安全性评估指南》或其他公开发表文献；如无公开发表数据的，可基于对产品实际用量的测试和统计结果，评估产品日均使用量，如可采用企业进行消费者试验</w:t>
      </w:r>
      <w:r>
        <w:rPr>
          <w:rFonts w:hint="eastAsia" w:eastAsia="宋体"/>
          <w:highlight w:val="none"/>
          <w:lang w:val="en-US" w:eastAsia="zh-CN"/>
        </w:rPr>
        <w:t>和调研统计的有效数据等</w:t>
      </w:r>
      <w:r>
        <w:rPr>
          <w:rFonts w:hint="eastAsia"/>
          <w:highlight w:val="none"/>
          <w:lang w:val="en-US" w:eastAsia="zh-CN"/>
        </w:rPr>
        <w:t>。</w:t>
      </w:r>
    </w:p>
    <w:p w14:paraId="374B9843">
      <w:pPr>
        <w:pStyle w:val="174"/>
        <w:rPr>
          <w:highlight w:val="none"/>
        </w:rPr>
      </w:pPr>
      <w:r>
        <w:rPr>
          <w:rFonts w:hint="eastAsia" w:eastAsia="宋体"/>
          <w:highlight w:val="none"/>
          <w:lang w:val="en-US" w:eastAsia="zh-CN"/>
        </w:rPr>
        <w:t>产品驻留因子：应根据产品类型、产品特点、产品使用方法选取合适的产品驻留因子。可参考《欧盟化妆品及其成分安全性评估指南》中产品的驻留因子。使用方式相同或类似的产品其驻留因子可互相参考</w:t>
      </w:r>
      <w:r>
        <w:rPr>
          <w:rFonts w:hint="eastAsia"/>
          <w:highlight w:val="none"/>
          <w:lang w:val="en-US" w:eastAsia="zh-CN"/>
        </w:rPr>
        <w:t>。</w:t>
      </w:r>
    </w:p>
    <w:p w14:paraId="01EABEF1">
      <w:pPr>
        <w:pStyle w:val="174"/>
      </w:pPr>
      <w:r>
        <w:rPr>
          <w:rFonts w:hint="eastAsia" w:eastAsia="宋体"/>
          <w:highlight w:val="none"/>
          <w:lang w:val="en-US" w:eastAsia="zh-CN"/>
        </w:rPr>
        <w:t>暴露剂量：应根据评估需要选取合适的暴露计算公式，常</w:t>
      </w:r>
      <w:r>
        <w:rPr>
          <w:rFonts w:hint="eastAsia" w:eastAsia="宋体"/>
          <w:lang w:val="en-US" w:eastAsia="zh-CN"/>
        </w:rPr>
        <w:t>见暴露量计算公式：</w:t>
      </w:r>
    </w:p>
    <w:p w14:paraId="1FABCC42">
      <w:pPr>
        <w:pStyle w:val="174"/>
        <w:numPr>
          <w:ilvl w:val="0"/>
          <w:numId w:val="0"/>
        </w:numPr>
        <w:ind w:left="425" w:leftChars="0"/>
        <w:rPr>
          <w:rFonts w:hint="default"/>
          <w:lang w:val="en-US" w:eastAsia="zh-CN"/>
        </w:rPr>
      </w:pPr>
      <w:r>
        <w:rPr>
          <w:rFonts w:hint="default"/>
          <w:lang w:val="en-US" w:eastAsia="zh-CN"/>
        </w:rPr>
        <w:t>全身暴露量（SED）=日均使用量×驻留因子× 成分在配方中百分比×经皮吸收率÷体重</w:t>
      </w:r>
    </w:p>
    <w:p w14:paraId="40FA5DFD">
      <w:pPr>
        <w:pStyle w:val="174"/>
        <w:numPr>
          <w:ilvl w:val="0"/>
          <w:numId w:val="0"/>
        </w:numPr>
        <w:ind w:left="425" w:leftChars="0"/>
        <w:rPr>
          <w:rFonts w:hint="default"/>
          <w:lang w:val="en-US" w:eastAsia="zh-CN"/>
        </w:rPr>
      </w:pPr>
      <w:r>
        <w:rPr>
          <w:rFonts w:hint="default"/>
          <w:lang w:val="en-US" w:eastAsia="zh-CN"/>
        </w:rPr>
        <w:t>全身暴露量（SED）=以单位体重计的化妆品每天使用量×在产品中的浓度（%）×经皮吸收率（%）</w:t>
      </w:r>
    </w:p>
    <w:p w14:paraId="4393C2B6">
      <w:pPr>
        <w:pStyle w:val="56"/>
        <w:rPr>
          <w:rFonts w:hint="eastAsia"/>
          <w:lang w:val="en-US" w:eastAsia="zh-CN"/>
        </w:rPr>
      </w:pPr>
      <w:r>
        <w:rPr>
          <w:rFonts w:hint="eastAsia" w:ascii="黑体" w:hAnsi="黑体" w:eastAsia="黑体" w:cs="黑体"/>
          <w:i w:val="0"/>
          <w:iCs w:val="0"/>
          <w:caps w:val="0"/>
          <w:color w:val="333333"/>
          <w:spacing w:val="0"/>
          <w:sz w:val="18"/>
          <w:szCs w:val="18"/>
          <w:shd w:val="clear" w:fill="FFFFFF"/>
          <w:lang w:val="en-US" w:eastAsia="zh-CN"/>
        </w:rPr>
        <w:t>注</w:t>
      </w:r>
      <w:r>
        <w:rPr>
          <w:rFonts w:hint="eastAsia" w:ascii="宋体" w:hAnsi="宋体" w:eastAsia="宋体" w:cs="宋体"/>
          <w:i w:val="0"/>
          <w:iCs w:val="0"/>
          <w:caps w:val="0"/>
          <w:color w:val="333333"/>
          <w:spacing w:val="0"/>
          <w:sz w:val="18"/>
          <w:szCs w:val="18"/>
          <w:shd w:val="clear" w:fill="FFFFFF"/>
          <w:lang w:val="en-US" w:eastAsia="zh-CN"/>
        </w:rPr>
        <w:t>：一般产品使用成人体重（60kg），特定人群使用的产品，应使用相应体重进行暴露计算。儿童产品应按照产品设计和使用方法，使用相应的儿童体重。暴露量的计算还应考虑其他暴露途径的可能性（如吸入、吞入等）；必要时应考虑除化妆品外其他可能来源（如食品和环境等）的暴露情况</w:t>
      </w:r>
      <w:r>
        <w:rPr>
          <w:rFonts w:hint="eastAsia" w:hAnsi="宋体" w:cs="宋体"/>
          <w:i w:val="0"/>
          <w:iCs w:val="0"/>
          <w:caps w:val="0"/>
          <w:color w:val="333333"/>
          <w:spacing w:val="0"/>
          <w:sz w:val="18"/>
          <w:szCs w:val="18"/>
          <w:shd w:val="clear" w:fill="FFFFFF"/>
          <w:lang w:val="en-US" w:eastAsia="zh-CN"/>
        </w:rPr>
        <w:t>。</w:t>
      </w:r>
    </w:p>
    <w:p w14:paraId="615F8728">
      <w:pPr>
        <w:pStyle w:val="105"/>
        <w:spacing w:before="120" w:after="120"/>
      </w:pPr>
      <w:r>
        <w:rPr>
          <w:rFonts w:hint="eastAsia" w:ascii="黑体" w:hAnsi="黑体" w:eastAsia="黑体" w:cs="黑体"/>
          <w:sz w:val="21"/>
          <w:szCs w:val="21"/>
          <w:lang w:val="en-US" w:eastAsia="zh-CN"/>
        </w:rPr>
        <w:t>产品配方</w:t>
      </w:r>
    </w:p>
    <w:p w14:paraId="634E0FE0">
      <w:pPr>
        <w:pStyle w:val="56"/>
        <w:rPr>
          <w:rFonts w:hint="eastAsia"/>
          <w:lang w:val="en-US" w:eastAsia="zh-CN"/>
        </w:rPr>
      </w:pPr>
      <w:r>
        <w:rPr>
          <w:rFonts w:hint="eastAsia"/>
          <w:lang w:val="en-US" w:eastAsia="zh-CN"/>
        </w:rPr>
        <w:t>产品配方表应包含原料序号、配方中所有成分的标准中文名称、INCI名/英文名称、原料的使用目的、《已使用化妆品原料目录》中的序号和备注；产品实际成分含量表应包含配方中所有成分的标准中文名称、INCI名/英文名称、实际成分含量；使用尚在安全监测中的化妆品新原料，应符合新原料管理的法规要求；配方原料按含量递减顺序排列，含量以质量百分比计，原料含量合计应为100%。</w:t>
      </w:r>
    </w:p>
    <w:p w14:paraId="5C7C2C76">
      <w:pPr>
        <w:pStyle w:val="56"/>
        <w:rPr>
          <w:rFonts w:hint="eastAsia"/>
          <w:lang w:val="en-US" w:eastAsia="zh-CN"/>
        </w:rPr>
      </w:pPr>
      <w:r>
        <w:rPr>
          <w:rFonts w:hint="eastAsia" w:ascii="黑体" w:hAnsi="黑体" w:eastAsia="黑体" w:cs="黑体"/>
          <w:i w:val="0"/>
          <w:iCs w:val="0"/>
          <w:caps w:val="0"/>
          <w:color w:val="333333"/>
          <w:spacing w:val="0"/>
          <w:sz w:val="18"/>
          <w:szCs w:val="18"/>
          <w:shd w:val="clear" w:fill="FFFFFF"/>
          <w:lang w:val="en-US" w:eastAsia="zh-CN"/>
        </w:rPr>
        <w:t>注</w:t>
      </w:r>
      <w:r>
        <w:rPr>
          <w:rFonts w:hint="eastAsia" w:ascii="宋体" w:hAnsi="宋体" w:eastAsia="宋体" w:cs="宋体"/>
          <w:i w:val="0"/>
          <w:iCs w:val="0"/>
          <w:caps w:val="0"/>
          <w:color w:val="333333"/>
          <w:spacing w:val="0"/>
          <w:sz w:val="18"/>
          <w:szCs w:val="18"/>
          <w:shd w:val="clear" w:fill="FFFFFF"/>
          <w:lang w:val="en-US" w:eastAsia="zh-CN"/>
        </w:rPr>
        <w:t>：配方含有与产品内容物直接接触的推进剂的，推进剂组成和含量应进行单独填报，推进剂含量合计为100%，同时标注推进剂和料体的灌装比例</w:t>
      </w:r>
      <w:r>
        <w:rPr>
          <w:rFonts w:hint="eastAsia" w:hAnsi="宋体" w:cs="宋体"/>
          <w:i w:val="0"/>
          <w:iCs w:val="0"/>
          <w:caps w:val="0"/>
          <w:color w:val="333333"/>
          <w:spacing w:val="0"/>
          <w:sz w:val="18"/>
          <w:szCs w:val="18"/>
          <w:shd w:val="clear" w:fill="FFFFFF"/>
          <w:lang w:val="en-US" w:eastAsia="zh-CN"/>
        </w:rPr>
        <w:t>。</w:t>
      </w:r>
    </w:p>
    <w:p w14:paraId="4F62FC87">
      <w:pPr>
        <w:pStyle w:val="105"/>
        <w:spacing w:before="120" w:after="120"/>
      </w:pPr>
      <w:r>
        <w:rPr>
          <w:rFonts w:hint="eastAsia"/>
        </w:rPr>
        <w:t>配方设计原则（仅针对儿童产品）</w:t>
      </w:r>
    </w:p>
    <w:p w14:paraId="0ECE8757">
      <w:pPr>
        <w:pStyle w:val="56"/>
        <w:rPr>
          <w:rFonts w:hint="eastAsia"/>
          <w:lang w:val="en-US" w:eastAsia="zh-CN"/>
        </w:rPr>
      </w:pPr>
      <w:r>
        <w:rPr>
          <w:rFonts w:hint="eastAsia"/>
          <w:lang w:val="en-US" w:eastAsia="zh-CN"/>
        </w:rPr>
        <w:t>儿童化妆品评估时，应明确产品配方设计的原则，配方设计应遵循安全优先、功效必需、配方极简的原则，应从原料的安全、稳定、功能、配伍等方面，结合儿童生理特点和可能的应用场景，评估所用原料的科学性和必要性，特别是香料香精、着色剂、防腐剂及表面活性剂等原料。具体评估原则应符合《儿童化妆品监督管理规定》和《儿童化妆品技术指导原则》的要求</w:t>
      </w:r>
    </w:p>
    <w:p w14:paraId="6DC8DC73">
      <w:pPr>
        <w:pStyle w:val="105"/>
        <w:spacing w:before="120" w:after="120"/>
        <w:rPr>
          <w:rFonts w:hint="eastAsia"/>
          <w:highlight w:val="none"/>
          <w:lang w:val="en-US" w:eastAsia="zh-CN"/>
        </w:rPr>
      </w:pPr>
      <w:r>
        <w:rPr>
          <w:rFonts w:hint="eastAsia"/>
          <w:highlight w:val="none"/>
        </w:rPr>
        <w:t>配方中各成分的安全评估</w:t>
      </w:r>
    </w:p>
    <w:p w14:paraId="2B3B0D6C">
      <w:pPr>
        <w:pStyle w:val="174"/>
        <w:numPr>
          <w:ilvl w:val="0"/>
          <w:numId w:val="36"/>
        </w:numPr>
      </w:pPr>
      <w:r>
        <w:rPr>
          <w:rFonts w:hint="eastAsia"/>
          <w:highlight w:val="none"/>
          <w:lang w:val="en-US" w:eastAsia="zh-CN"/>
        </w:rPr>
        <w:t>应按照</w:t>
      </w:r>
      <w:r>
        <w:rPr>
          <w:rFonts w:hint="eastAsia"/>
          <w:lang w:val="en-US" w:eastAsia="zh-CN"/>
        </w:rPr>
        <w:t>各成分含量递减顺序排列，并对所有成分逐个进行安全评估并分别出具评估结论；</w:t>
      </w:r>
    </w:p>
    <w:p w14:paraId="0550C007">
      <w:pPr>
        <w:pStyle w:val="174"/>
      </w:pPr>
      <w:r>
        <w:rPr>
          <w:rFonts w:hint="eastAsia"/>
          <w:lang w:val="en-US" w:eastAsia="zh-CN"/>
        </w:rPr>
        <w:t>本文件6.2中所列七种原料数据类型，除《化妆品安全技术规范》中的限用组分、准用防腐剂、准用防晒剂、准用着色剂和准用染发剂外，其余数据类型应基于数据的科学性和合理性，遵循科学、公正、透明和个案分析的原则，选用最相关和可靠的数据类型开展评估；</w:t>
      </w:r>
    </w:p>
    <w:p w14:paraId="45C2A6C7">
      <w:pPr>
        <w:pStyle w:val="174"/>
        <w:rPr>
          <w:rFonts w:hint="eastAsia"/>
          <w:lang w:val="en-US" w:eastAsia="zh-CN"/>
        </w:rPr>
      </w:pPr>
      <w:r>
        <w:rPr>
          <w:rFonts w:hint="default"/>
          <w:lang w:val="en-US" w:eastAsia="zh-CN"/>
        </w:rPr>
        <w:t>对于无法使用</w:t>
      </w:r>
      <w:r>
        <w:rPr>
          <w:rFonts w:hint="eastAsia"/>
          <w:lang w:val="en-US" w:eastAsia="zh-CN"/>
        </w:rPr>
        <w:t>本文件6.2和6.3中</w:t>
      </w:r>
      <w:r>
        <w:rPr>
          <w:rFonts w:hint="default"/>
          <w:lang w:val="en-US" w:eastAsia="zh-CN"/>
        </w:rPr>
        <w:t>任一数据类型或方法进行评估的原料，应按照《</w:t>
      </w:r>
      <w:r>
        <w:rPr>
          <w:rFonts w:hint="eastAsia"/>
          <w:lang w:val="en-US" w:eastAsia="zh-CN"/>
        </w:rPr>
        <w:t>化妆品安全评估技术导则</w:t>
      </w:r>
      <w:r>
        <w:rPr>
          <w:rFonts w:hint="default"/>
          <w:lang w:val="en-US" w:eastAsia="zh-CN"/>
        </w:rPr>
        <w:t>》的风险评估程序对原料开展危害识别、剂量反应关系评估、暴露评估和风险特征描述，以确保原料的使用安全</w:t>
      </w:r>
      <w:r>
        <w:rPr>
          <w:rFonts w:hint="eastAsia"/>
          <w:lang w:val="en-US" w:eastAsia="zh-CN"/>
        </w:rPr>
        <w:t>。</w:t>
      </w:r>
    </w:p>
    <w:p w14:paraId="51F11170">
      <w:pPr>
        <w:pStyle w:val="174"/>
        <w:numPr>
          <w:ilvl w:val="0"/>
          <w:numId w:val="0"/>
        </w:numPr>
        <w:ind w:left="425" w:leftChars="0"/>
        <w:rPr>
          <w:rFonts w:hint="eastAsia"/>
          <w:lang w:val="en-US" w:eastAsia="zh-CN"/>
        </w:rPr>
      </w:pPr>
    </w:p>
    <w:p w14:paraId="24A93314">
      <w:pPr>
        <w:pStyle w:val="105"/>
        <w:spacing w:before="120" w:after="120"/>
      </w:pPr>
      <w:r>
        <w:rPr>
          <w:rFonts w:hint="eastAsia"/>
        </w:rPr>
        <w:t>可能存在的风险物质的安全评估</w:t>
      </w:r>
    </w:p>
    <w:p w14:paraId="6BB6874A">
      <w:pPr>
        <w:pStyle w:val="56"/>
        <w:rPr>
          <w:rFonts w:hint="eastAsia"/>
          <w:lang w:val="en-US" w:eastAsia="zh-CN"/>
        </w:rPr>
      </w:pPr>
      <w:r>
        <w:rPr>
          <w:rFonts w:hint="eastAsia"/>
          <w:highlight w:val="none"/>
          <w:lang w:val="en-US" w:eastAsia="zh-CN"/>
        </w:rPr>
        <w:t>应基于当前科学认识水平，对可能由化妆品原料带入、生产过程中产生或带入的风险物质进行识别与评估。应按照《</w:t>
      </w:r>
      <w:r>
        <w:rPr>
          <w:rFonts w:hint="eastAsia"/>
          <w:lang w:val="en-US" w:eastAsia="zh-CN"/>
        </w:rPr>
        <w:t>化妆品安全技术规范</w:t>
      </w:r>
      <w:r>
        <w:rPr>
          <w:rFonts w:hint="eastAsia"/>
          <w:highlight w:val="none"/>
          <w:lang w:val="en-US" w:eastAsia="zh-CN"/>
        </w:rPr>
        <w:t>》规定、参考国内外权威机构风险评估结论等方法对化妆品中可能存在的风险物质进行识别与评估，风险物质识别与评估应符合《</w:t>
      </w:r>
      <w:bookmarkStart w:id="50" w:name="_Toc6263"/>
      <w:r>
        <w:rPr>
          <w:rFonts w:hint="eastAsia"/>
          <w:highlight w:val="none"/>
          <w:lang w:val="en-US" w:eastAsia="zh-CN"/>
        </w:rPr>
        <w:t>化妆品风险物质识别与评估技术指导原则</w:t>
      </w:r>
      <w:bookmarkEnd w:id="50"/>
      <w:r>
        <w:rPr>
          <w:rFonts w:hint="eastAsia"/>
          <w:highlight w:val="none"/>
          <w:lang w:val="en-US" w:eastAsia="zh-CN"/>
        </w:rPr>
        <w:t>》要求，明确各成分评估采用的参考依据，应提供产品识别的风险物质的检验报告或原料质量规格证明。儿童化妆品中的香精、植物精油或香料成分，应参照《儿童化妆品技术指导原则》对其中的致敏成分进行识别</w:t>
      </w:r>
      <w:r>
        <w:rPr>
          <w:rFonts w:hint="eastAsia"/>
          <w:lang w:val="en-US" w:eastAsia="zh-CN"/>
        </w:rPr>
        <w:t>并评估。</w:t>
      </w:r>
    </w:p>
    <w:p w14:paraId="07E95888">
      <w:pPr>
        <w:pStyle w:val="105"/>
        <w:spacing w:before="120" w:after="120"/>
      </w:pPr>
      <w:r>
        <w:rPr>
          <w:rFonts w:hint="eastAsia"/>
        </w:rPr>
        <w:t>风险控制措施或建议</w:t>
      </w:r>
    </w:p>
    <w:p w14:paraId="305F75E0">
      <w:pPr>
        <w:pStyle w:val="56"/>
        <w:rPr>
          <w:rFonts w:hint="eastAsia"/>
          <w:lang w:val="en-US" w:eastAsia="zh-CN"/>
        </w:rPr>
      </w:pPr>
      <w:r>
        <w:rPr>
          <w:rFonts w:hint="eastAsia"/>
          <w:lang w:val="en-US" w:eastAsia="zh-CN"/>
        </w:rPr>
        <w:t>应符合《化妆品安全技术规范》《化妆品标签管理办法》《儿童化妆品监督管理规定》等文件要求，针对产品特点明确必要的风险控制措施或建议，根据产品特点明确产品的使用方法及相关警示用语。</w:t>
      </w:r>
    </w:p>
    <w:p w14:paraId="13C403B0">
      <w:pPr>
        <w:pStyle w:val="105"/>
        <w:spacing w:before="120" w:after="120"/>
      </w:pPr>
      <w:r>
        <w:rPr>
          <w:rFonts w:hint="eastAsia"/>
        </w:rPr>
        <w:t>安全评估结论</w:t>
      </w:r>
    </w:p>
    <w:p w14:paraId="0424064F">
      <w:pPr>
        <w:pStyle w:val="56"/>
        <w:rPr>
          <w:rFonts w:hint="eastAsia"/>
          <w:lang w:val="en-US" w:eastAsia="zh-CN"/>
        </w:rPr>
      </w:pPr>
      <w:r>
        <w:rPr>
          <w:rFonts w:hint="eastAsia"/>
          <w:lang w:val="en-US" w:eastAsia="zh-CN"/>
        </w:rPr>
        <w:t>产品安全评估报告应有明确的产品安全评估结论和综合评估内容，并应至少包含：</w:t>
      </w:r>
    </w:p>
    <w:p w14:paraId="15C83D29">
      <w:pPr>
        <w:pStyle w:val="174"/>
        <w:numPr>
          <w:ilvl w:val="0"/>
          <w:numId w:val="37"/>
        </w:numPr>
      </w:pPr>
      <w:r>
        <w:rPr>
          <w:rFonts w:hint="eastAsia"/>
          <w:lang w:val="en-US" w:eastAsia="zh-CN"/>
        </w:rPr>
        <w:t>各成分的安全评估结果</w:t>
      </w:r>
      <w:r>
        <w:rPr>
          <w:rFonts w:hint="eastAsia"/>
        </w:rPr>
        <w:t>；</w:t>
      </w:r>
    </w:p>
    <w:p w14:paraId="2A9F0896">
      <w:pPr>
        <w:pStyle w:val="174"/>
      </w:pPr>
      <w:r>
        <w:rPr>
          <w:rFonts w:hint="eastAsia"/>
          <w:lang w:val="en-US" w:eastAsia="zh-CN"/>
        </w:rPr>
        <w:t>可能存在的风险物质检测及评估结果</w:t>
      </w:r>
      <w:r>
        <w:rPr>
          <w:rFonts w:hint="eastAsia"/>
        </w:rPr>
        <w:t>；</w:t>
      </w:r>
    </w:p>
    <w:p w14:paraId="33FEBC4B">
      <w:pPr>
        <w:pStyle w:val="174"/>
      </w:pPr>
      <w:r>
        <w:rPr>
          <w:rFonts w:hint="eastAsia"/>
          <w:lang w:val="en-US" w:eastAsia="zh-CN"/>
        </w:rPr>
        <w:t>防腐剂挑战结果</w:t>
      </w:r>
      <w:r>
        <w:rPr>
          <w:rFonts w:hint="eastAsia" w:hAnsi="宋体" w:cs="宋体"/>
        </w:rPr>
        <w:t>；</w:t>
      </w:r>
    </w:p>
    <w:p w14:paraId="08D20C67">
      <w:pPr>
        <w:pStyle w:val="174"/>
      </w:pPr>
      <w:r>
        <w:rPr>
          <w:rFonts w:hint="eastAsia"/>
          <w:lang w:val="en-US" w:eastAsia="zh-CN"/>
        </w:rPr>
        <w:t>微生物检验结果</w:t>
      </w:r>
      <w:r>
        <w:rPr>
          <w:rFonts w:hint="eastAsia" w:hAnsi="宋体" w:cs="宋体"/>
        </w:rPr>
        <w:t>；</w:t>
      </w:r>
    </w:p>
    <w:p w14:paraId="3739F278">
      <w:pPr>
        <w:pStyle w:val="174"/>
      </w:pPr>
      <w:r>
        <w:rPr>
          <w:rFonts w:hint="eastAsia"/>
          <w:lang w:val="en-US" w:eastAsia="zh-CN"/>
        </w:rPr>
        <w:t>理化检测结果</w:t>
      </w:r>
      <w:r>
        <w:rPr>
          <w:rFonts w:hint="eastAsia" w:hAnsi="宋体" w:cs="宋体"/>
        </w:rPr>
        <w:t>；</w:t>
      </w:r>
    </w:p>
    <w:p w14:paraId="5C76E0E3">
      <w:pPr>
        <w:pStyle w:val="174"/>
      </w:pPr>
      <w:r>
        <w:rPr>
          <w:rFonts w:hint="eastAsia"/>
          <w:lang w:val="en-US" w:eastAsia="zh-CN"/>
        </w:rPr>
        <w:t>产品的稳定性检测结果</w:t>
      </w:r>
      <w:r>
        <w:rPr>
          <w:rFonts w:hint="eastAsia"/>
        </w:rPr>
        <w:t>；</w:t>
      </w:r>
    </w:p>
    <w:p w14:paraId="4808C8D3">
      <w:pPr>
        <w:pStyle w:val="174"/>
        <w:rPr>
          <w:rFonts w:hint="eastAsia"/>
          <w:lang w:val="en-US" w:eastAsia="zh-CN"/>
        </w:rPr>
      </w:pPr>
      <w:r>
        <w:rPr>
          <w:rFonts w:hint="eastAsia"/>
          <w:lang w:val="en-US" w:eastAsia="zh-CN"/>
        </w:rPr>
        <w:t>产品与包装材料的相容性评估结果；</w:t>
      </w:r>
    </w:p>
    <w:p w14:paraId="58E0A9A6">
      <w:pPr>
        <w:pStyle w:val="174"/>
        <w:rPr>
          <w:rFonts w:hint="eastAsia"/>
          <w:lang w:val="en-US" w:eastAsia="zh-CN"/>
        </w:rPr>
      </w:pPr>
      <w:r>
        <w:rPr>
          <w:rFonts w:hint="eastAsia"/>
          <w:lang w:val="en-US" w:eastAsia="zh-CN"/>
        </w:rPr>
        <w:t>配方中各成分之间可能存在的相互作用、安全性及潜在造成人体健康危害的情况说明。</w:t>
      </w:r>
    </w:p>
    <w:p w14:paraId="3D617258">
      <w:pPr>
        <w:pStyle w:val="105"/>
        <w:spacing w:before="120" w:after="120"/>
      </w:pPr>
      <w:r>
        <w:rPr>
          <w:rFonts w:hint="eastAsia"/>
        </w:rPr>
        <w:t>安全评估人员签名</w:t>
      </w:r>
    </w:p>
    <w:p w14:paraId="2F8521AB">
      <w:pPr>
        <w:pStyle w:val="56"/>
        <w:rPr>
          <w:rFonts w:hint="eastAsia"/>
          <w:lang w:val="en-US" w:eastAsia="zh-CN"/>
        </w:rPr>
      </w:pPr>
      <w:r>
        <w:rPr>
          <w:rFonts w:hint="eastAsia"/>
          <w:lang w:val="en-US" w:eastAsia="zh-CN"/>
        </w:rPr>
        <w:t>应有姓名签字、日期、地址；其中安全评估人员姓名可以是电子签名或手写签名，评估日期应为最终出具安全评估报告的时间且不应早于备案检验报告、风险物质报告、原料质量规格证明、香精IFRA证书等相关证明性资料的出具时间，地址为实际开展安全评估的工作场所的物理地址。</w:t>
      </w:r>
    </w:p>
    <w:p w14:paraId="2274639F">
      <w:pPr>
        <w:pStyle w:val="105"/>
        <w:spacing w:before="120" w:after="120"/>
      </w:pPr>
      <w:r>
        <w:rPr>
          <w:rFonts w:hint="eastAsia"/>
        </w:rPr>
        <w:t>安全评估人员简历</w:t>
      </w:r>
    </w:p>
    <w:p w14:paraId="06F24F65">
      <w:pPr>
        <w:pStyle w:val="56"/>
        <w:rPr>
          <w:rFonts w:hint="eastAsia"/>
          <w:lang w:val="en-US" w:eastAsia="zh-CN"/>
        </w:rPr>
      </w:pPr>
      <w:r>
        <w:rPr>
          <w:rFonts w:hint="eastAsia"/>
          <w:lang w:val="en-US" w:eastAsia="zh-CN"/>
        </w:rPr>
        <w:t>应有安全评估人员简历，简历应符合本文件第5章的全部要求。</w:t>
      </w:r>
    </w:p>
    <w:p w14:paraId="3EF51D25">
      <w:pPr>
        <w:pStyle w:val="105"/>
        <w:spacing w:before="120" w:after="120"/>
      </w:pPr>
      <w:r>
        <w:rPr>
          <w:rFonts w:hint="eastAsia"/>
        </w:rPr>
        <w:t>参考文献</w:t>
      </w:r>
    </w:p>
    <w:p w14:paraId="7089D1E4">
      <w:pPr>
        <w:pStyle w:val="56"/>
        <w:rPr>
          <w:rFonts w:hint="eastAsia"/>
          <w:lang w:val="en-US" w:eastAsia="zh-CN"/>
        </w:rPr>
      </w:pPr>
      <w:r>
        <w:rPr>
          <w:rFonts w:hint="eastAsia"/>
          <w:lang w:val="en-US" w:eastAsia="zh-CN"/>
        </w:rPr>
        <w:t>评估时采用国内外权威机构已公布的安全限量或结论或其他数据时，应列明参考文献。参考文献应按照《化妆品安全评估技术导则》格式要求列出明确的出处及来源。</w:t>
      </w:r>
    </w:p>
    <w:p w14:paraId="486D7010">
      <w:pPr>
        <w:pStyle w:val="56"/>
        <w:rPr>
          <w:rFonts w:hint="eastAsia" w:hAnsi="宋体" w:cs="宋体"/>
          <w:i w:val="0"/>
          <w:iCs w:val="0"/>
          <w:caps w:val="0"/>
          <w:color w:val="333333"/>
          <w:spacing w:val="0"/>
          <w:sz w:val="18"/>
          <w:szCs w:val="18"/>
          <w:shd w:val="clear" w:fill="FFFFFF"/>
          <w:lang w:val="en-US" w:eastAsia="zh-CN"/>
        </w:rPr>
      </w:pPr>
      <w:r>
        <w:rPr>
          <w:rFonts w:hint="eastAsia" w:ascii="黑体" w:hAnsi="黑体" w:eastAsia="黑体" w:cs="黑体"/>
          <w:i w:val="0"/>
          <w:iCs w:val="0"/>
          <w:caps w:val="0"/>
          <w:color w:val="333333"/>
          <w:spacing w:val="0"/>
          <w:sz w:val="18"/>
          <w:szCs w:val="18"/>
          <w:shd w:val="clear" w:fill="FFFFFF"/>
          <w:lang w:val="en-US" w:eastAsia="zh-CN"/>
        </w:rPr>
        <w:t>注</w:t>
      </w:r>
      <w:r>
        <w:rPr>
          <w:rFonts w:hint="eastAsia" w:ascii="宋体" w:hAnsi="宋体" w:eastAsia="宋体" w:cs="宋体"/>
          <w:i w:val="0"/>
          <w:iCs w:val="0"/>
          <w:caps w:val="0"/>
          <w:color w:val="333333"/>
          <w:spacing w:val="0"/>
          <w:sz w:val="18"/>
          <w:szCs w:val="18"/>
          <w:shd w:val="clear" w:fill="FFFFFF"/>
          <w:lang w:val="en-US" w:eastAsia="zh-CN"/>
        </w:rPr>
        <w:t>：化妆品备案人提交完整备案资料时，应将原文留档备查，无需提交</w:t>
      </w:r>
      <w:r>
        <w:rPr>
          <w:rFonts w:hint="eastAsia" w:hAnsi="宋体" w:cs="宋体"/>
          <w:i w:val="0"/>
          <w:iCs w:val="0"/>
          <w:caps w:val="0"/>
          <w:color w:val="333333"/>
          <w:spacing w:val="0"/>
          <w:sz w:val="18"/>
          <w:szCs w:val="18"/>
          <w:shd w:val="clear" w:fill="FFFFFF"/>
          <w:lang w:val="en-US" w:eastAsia="zh-CN"/>
        </w:rPr>
        <w:t>。</w:t>
      </w:r>
    </w:p>
    <w:p w14:paraId="369BE1B7">
      <w:pPr>
        <w:pStyle w:val="105"/>
        <w:spacing w:before="120" w:after="120"/>
      </w:pPr>
      <w:r>
        <w:rPr>
          <w:rFonts w:hint="eastAsia"/>
        </w:rPr>
        <w:t>附录</w:t>
      </w:r>
    </w:p>
    <w:p w14:paraId="66AA4892">
      <w:pPr>
        <w:pStyle w:val="56"/>
        <w:rPr>
          <w:rFonts w:hint="eastAsia"/>
          <w:lang w:val="en-US" w:eastAsia="zh-CN"/>
        </w:rPr>
      </w:pPr>
      <w:r>
        <w:rPr>
          <w:rFonts w:hint="eastAsia"/>
          <w:lang w:val="en-US" w:eastAsia="zh-CN"/>
        </w:rPr>
        <w:t>应包括产品或原料所对应的检验报告、原料质量规格证明、农残报告、香精证书和外文资料等；其中外文资料及其翻译应完整、规范，译文与原文内容应一致；多件外文资料应分别将译文附在相应的资料之后。</w:t>
      </w:r>
    </w:p>
    <w:p w14:paraId="2BCBF3AA">
      <w:pPr>
        <w:pStyle w:val="56"/>
        <w:rPr>
          <w:rFonts w:hint="eastAsia"/>
          <w:lang w:val="en-US" w:eastAsia="zh-CN"/>
        </w:rPr>
      </w:pPr>
    </w:p>
    <w:p w14:paraId="7DA94349">
      <w:pPr>
        <w:pStyle w:val="56"/>
        <w:rPr>
          <w:rFonts w:hint="eastAsia"/>
          <w:lang w:val="en-US" w:eastAsia="zh-CN"/>
        </w:rPr>
      </w:pPr>
    </w:p>
    <w:p w14:paraId="036A0B5E">
      <w:pPr>
        <w:pStyle w:val="56"/>
        <w:ind w:firstLine="420"/>
        <w:rPr>
          <w:rFonts w:hint="eastAsia" w:eastAsia="宋体"/>
          <w:lang w:eastAsia="zh-CN"/>
        </w:rPr>
      </w:pPr>
      <w:r>
        <w:rPr>
          <w:rFonts w:hint="eastAsia"/>
          <w:lang w:val="en-US" w:eastAsia="zh-CN"/>
        </w:rPr>
        <w:t xml:space="preserve"> </w:t>
      </w:r>
    </w:p>
    <w:p w14:paraId="4CD6179B">
      <w:pPr>
        <w:pStyle w:val="56"/>
        <w:ind w:firstLine="420"/>
        <w:sectPr>
          <w:pgSz w:w="11906" w:h="16838"/>
          <w:pgMar w:top="1928" w:right="1134" w:bottom="1134" w:left="1134" w:header="1418" w:footer="1134" w:gutter="284"/>
          <w:pgNumType w:start="1"/>
          <w:cols w:space="425" w:num="1"/>
          <w:formProt w:val="0"/>
          <w:docGrid w:linePitch="312" w:charSpace="0"/>
        </w:sectPr>
      </w:pPr>
    </w:p>
    <w:bookmarkEnd w:id="24"/>
    <w:p w14:paraId="7A6EE3E9">
      <w:pPr>
        <w:pStyle w:val="198"/>
        <w:rPr>
          <w:rFonts w:hint="eastAsia"/>
        </w:rPr>
      </w:pPr>
      <w:bookmarkStart w:id="51" w:name="BookMark5"/>
    </w:p>
    <w:p w14:paraId="1A3F166F">
      <w:pPr>
        <w:pStyle w:val="199"/>
      </w:pPr>
    </w:p>
    <w:p w14:paraId="04F7D7FF">
      <w:pPr>
        <w:pStyle w:val="76"/>
        <w:spacing w:after="120"/>
      </w:pPr>
      <w:r>
        <w:br w:type="textWrapping"/>
      </w:r>
      <w:bookmarkStart w:id="52" w:name="_Toc217394606"/>
      <w:r>
        <w:rPr>
          <w:rFonts w:hint="eastAsia"/>
        </w:rPr>
        <w:t>（</w:t>
      </w:r>
      <w:r>
        <w:rPr>
          <w:rFonts w:hint="eastAsia"/>
          <w:lang w:eastAsia="zh-CN"/>
        </w:rPr>
        <w:t>规范性</w:t>
      </w:r>
      <w:r>
        <w:rPr>
          <w:rFonts w:hint="eastAsia"/>
        </w:rPr>
        <w:t>）</w:t>
      </w:r>
      <w:r>
        <w:br w:type="textWrapping"/>
      </w:r>
      <w:bookmarkEnd w:id="52"/>
      <w:r>
        <w:rPr>
          <w:rFonts w:hint="eastAsia"/>
        </w:rPr>
        <w:t>数据使用要求和证明材料</w:t>
      </w:r>
    </w:p>
    <w:p w14:paraId="66EC5B74">
      <w:pPr>
        <w:pStyle w:val="105"/>
        <w:numPr>
          <w:ilvl w:val="2"/>
          <w:numId w:val="0"/>
        </w:numPr>
        <w:spacing w:before="120" w:after="120"/>
        <w:ind w:leftChars="0"/>
        <w:rPr>
          <w:rFonts w:hint="default"/>
          <w:lang w:val="en-US"/>
        </w:rPr>
      </w:pPr>
      <w:r>
        <w:rPr>
          <w:rFonts w:hint="eastAsia" w:hAnsi="黑体" w:cs="黑体"/>
          <w:sz w:val="21"/>
          <w:szCs w:val="21"/>
          <w:lang w:val="en-US" w:eastAsia="zh-CN"/>
        </w:rPr>
        <w:t>A.1  总体要求</w:t>
      </w:r>
    </w:p>
    <w:p w14:paraId="645E7A3F">
      <w:pPr>
        <w:pStyle w:val="56"/>
        <w:rPr>
          <w:rFonts w:hint="eastAsia"/>
          <w:lang w:val="en-US" w:eastAsia="zh-CN"/>
        </w:rPr>
      </w:pPr>
      <w:r>
        <w:rPr>
          <w:rFonts w:hint="eastAsia"/>
          <w:lang w:val="en-US" w:eastAsia="zh-CN"/>
        </w:rPr>
        <w:t>对于收录在《化妆品安全技术规范》中限用组分、准用防腐剂、准用防晒剂、准用着色剂和准用染发剂列表中的原料，应按照其规定的适用及(或)使用范围、化妆品使用时的最大允许浓度及其他限制和要求进行评估。</w:t>
      </w:r>
    </w:p>
    <w:p w14:paraId="1E831567">
      <w:pPr>
        <w:pStyle w:val="105"/>
        <w:numPr>
          <w:ilvl w:val="2"/>
          <w:numId w:val="0"/>
        </w:numPr>
        <w:spacing w:before="120" w:after="120"/>
        <w:ind w:leftChars="0"/>
        <w:rPr>
          <w:rFonts w:hint="default"/>
          <w:lang w:val="en-US"/>
        </w:rPr>
      </w:pPr>
      <w:r>
        <w:rPr>
          <w:rFonts w:hint="eastAsia" w:hAnsi="黑体" w:cs="黑体"/>
          <w:sz w:val="21"/>
          <w:szCs w:val="21"/>
          <w:lang w:val="en-US" w:eastAsia="zh-CN"/>
        </w:rPr>
        <w:t>A.2  国际权威化妆品安全评估机构公布的评估结论</w:t>
      </w:r>
    </w:p>
    <w:p w14:paraId="6BE32083">
      <w:pPr>
        <w:pStyle w:val="56"/>
        <w:rPr>
          <w:rFonts w:hint="eastAsia"/>
          <w:lang w:val="en-US" w:eastAsia="zh-CN"/>
        </w:rPr>
      </w:pPr>
      <w:r>
        <w:rPr>
          <w:rFonts w:hint="eastAsia"/>
          <w:lang w:val="en-US" w:eastAsia="zh-CN"/>
        </w:rPr>
        <w:t>欧盟消费者委员会（SCCS）、美国化妆品原料评价委员会（CIR）以及其他国际权威化妆品安全评估机构已公布安全评估结论的原料，需对相关评估资料进行分析，在符合我国化妆品相关法规及使用条件下，可采用相关评估结论，对有限制使用条件的原料，应在满足限制条件的情况下采用其评估结论。不同的权威机构评估结果不一致时，根据数据的可靠性和相关性，科学合理地采用相关评估结论。安全评估资料中，应明确安全评估机构和评估结论。</w:t>
      </w:r>
    </w:p>
    <w:p w14:paraId="254D5BC4">
      <w:pPr>
        <w:pStyle w:val="105"/>
        <w:numPr>
          <w:ilvl w:val="2"/>
          <w:numId w:val="0"/>
        </w:numPr>
        <w:spacing w:before="120" w:after="120"/>
        <w:ind w:leftChars="0"/>
        <w:rPr>
          <w:rFonts w:hint="default"/>
          <w:lang w:val="en-US"/>
        </w:rPr>
      </w:pPr>
      <w:r>
        <w:rPr>
          <w:rFonts w:hint="eastAsia" w:hAnsi="黑体" w:cs="黑体"/>
          <w:sz w:val="21"/>
          <w:szCs w:val="21"/>
          <w:lang w:val="en-US" w:eastAsia="zh-CN"/>
        </w:rPr>
        <w:t>A.3  世界卫生组织（WHO）、联合国粮农组织（FAO）等权威机构已公布的安全限量或结论</w:t>
      </w:r>
    </w:p>
    <w:p w14:paraId="3A842155">
      <w:pPr>
        <w:pStyle w:val="56"/>
        <w:rPr>
          <w:rFonts w:hint="eastAsia"/>
          <w:lang w:val="en-US" w:eastAsia="zh-CN"/>
        </w:rPr>
      </w:pPr>
      <w:r>
        <w:rPr>
          <w:rFonts w:hint="eastAsia"/>
          <w:lang w:val="en-US" w:eastAsia="zh-CN"/>
        </w:rPr>
        <w:t>世界卫生组织（WHO）、联合国粮农组织（FAO）、欧洲食品安全局（EFSA）等其他权威机构公布的安全限量或结论，如每日允许摄入量（ADI）、每日耐受剂量（TDI）、参考剂量（RfD）、一般认为安全的物质、国际日用香料协会（IFRA）发布的香料标准等，需对相关资料进行分析，在符合我国化妆品相关法规规定的情况下，可采用相关结论。如原料还缺少局部毒性数据，应结合终产品的使用部位和使用特点，对其局部毒性进行评估。。</w:t>
      </w:r>
    </w:p>
    <w:p w14:paraId="4D22A4FC">
      <w:pPr>
        <w:pStyle w:val="105"/>
        <w:numPr>
          <w:ilvl w:val="2"/>
          <w:numId w:val="0"/>
        </w:numPr>
        <w:spacing w:before="120" w:after="120"/>
        <w:ind w:leftChars="0"/>
        <w:rPr>
          <w:rFonts w:hint="default"/>
          <w:highlight w:val="none"/>
          <w:lang w:val="en-US"/>
        </w:rPr>
      </w:pPr>
      <w:r>
        <w:rPr>
          <w:rFonts w:hint="eastAsia" w:hAnsi="黑体" w:cs="黑体"/>
          <w:sz w:val="21"/>
          <w:szCs w:val="21"/>
          <w:lang w:val="en-US" w:eastAsia="zh-CN"/>
        </w:rPr>
        <w:t>A.</w:t>
      </w:r>
      <w:r>
        <w:rPr>
          <w:rFonts w:hint="eastAsia" w:hAnsi="黑体" w:cs="黑体"/>
          <w:sz w:val="21"/>
          <w:szCs w:val="21"/>
          <w:highlight w:val="none"/>
          <w:lang w:val="en-US" w:eastAsia="zh-CN"/>
        </w:rPr>
        <w:t>4  监管部门公布的已上市产品原料使用信息</w:t>
      </w:r>
    </w:p>
    <w:p w14:paraId="09A98883">
      <w:pPr>
        <w:pStyle w:val="56"/>
        <w:rPr>
          <w:rFonts w:hint="eastAsia"/>
          <w:lang w:val="en-US" w:eastAsia="zh-CN"/>
        </w:rPr>
      </w:pPr>
      <w:r>
        <w:rPr>
          <w:rFonts w:hint="eastAsia"/>
          <w:highlight w:val="none"/>
          <w:lang w:val="en-US" w:eastAsia="zh-CN"/>
        </w:rPr>
        <w:t>应按照《已上市产品原料使用信息》和《国</w:t>
      </w:r>
      <w:r>
        <w:rPr>
          <w:rFonts w:hint="eastAsia"/>
          <w:lang w:val="en-US" w:eastAsia="zh-CN"/>
        </w:rPr>
        <w:t>际化妆品安全评估数据索引》收录的部分原料使用信息进行评估。安全评估人员应结合产品使用方法和作用部位，正确使用原料使用量。</w:t>
      </w:r>
    </w:p>
    <w:p w14:paraId="0B5D9340">
      <w:pPr>
        <w:pStyle w:val="105"/>
        <w:numPr>
          <w:ilvl w:val="2"/>
          <w:numId w:val="0"/>
        </w:numPr>
        <w:spacing w:before="120" w:after="120"/>
        <w:ind w:leftChars="0"/>
        <w:rPr>
          <w:rFonts w:hint="default"/>
          <w:lang w:val="en-US"/>
        </w:rPr>
      </w:pPr>
      <w:r>
        <w:rPr>
          <w:rFonts w:hint="eastAsia" w:hAnsi="黑体" w:cs="黑体"/>
          <w:sz w:val="21"/>
          <w:szCs w:val="21"/>
          <w:lang w:val="en-US" w:eastAsia="zh-CN"/>
        </w:rPr>
        <w:t>A.5  监管部门公布的已上市产品原料使用信息</w:t>
      </w:r>
    </w:p>
    <w:p w14:paraId="1E6849F2">
      <w:pPr>
        <w:pStyle w:val="56"/>
        <w:rPr>
          <w:rFonts w:hint="eastAsia"/>
          <w:lang w:val="en-US" w:eastAsia="zh-CN"/>
        </w:rPr>
      </w:pPr>
      <w:r>
        <w:rPr>
          <w:rFonts w:hint="eastAsia"/>
          <w:lang w:val="en-US" w:eastAsia="zh-CN"/>
        </w:rPr>
        <w:t>对于国内外已有3年（含3年）以上使用历史的原料，使用的原料与拟评估的原料为同一原料，使用该原料的已上市产品引起的不良反应经分析不涉及该原料的使用安全。具有相同的使用部位和使用方法，配方中浓度不超过历史使用浓度。原料历史使用浓度可相互参考，暴露量高和接触时间长的产品，可用于暴露量低和接触时间短的产品评估，但需要从目标人群、使用部位和使用方式等方面充分分析说明其合理性，必要时评估其局部毒性。产品备案时应提供的3年使用历史证明材料应符合</w:t>
      </w:r>
      <w:r>
        <w:rPr>
          <w:rFonts w:hint="eastAsia"/>
          <w:highlight w:val="none"/>
          <w:lang w:val="en-US" w:eastAsia="zh-CN"/>
        </w:rPr>
        <w:t>《化妆品原料数据使用指南》</w:t>
      </w:r>
      <w:r>
        <w:rPr>
          <w:rFonts w:hint="eastAsia"/>
          <w:lang w:val="en-US" w:eastAsia="zh-CN"/>
        </w:rPr>
        <w:t>要求。</w:t>
      </w:r>
    </w:p>
    <w:p w14:paraId="549C9A46">
      <w:pPr>
        <w:pStyle w:val="105"/>
        <w:numPr>
          <w:ilvl w:val="2"/>
          <w:numId w:val="0"/>
        </w:numPr>
        <w:spacing w:before="120" w:after="120"/>
        <w:ind w:leftChars="0"/>
        <w:rPr>
          <w:rFonts w:hint="default"/>
          <w:lang w:val="en-US"/>
        </w:rPr>
      </w:pPr>
      <w:r>
        <w:rPr>
          <w:rFonts w:hint="eastAsia" w:hAnsi="黑体" w:cs="黑体"/>
          <w:sz w:val="21"/>
          <w:szCs w:val="21"/>
          <w:lang w:val="en-US" w:eastAsia="zh-CN"/>
        </w:rPr>
        <w:t>A.6  安全食用历史</w:t>
      </w:r>
    </w:p>
    <w:p w14:paraId="66C30754">
      <w:pPr>
        <w:pStyle w:val="56"/>
        <w:rPr>
          <w:rFonts w:hint="eastAsia"/>
          <w:lang w:val="en-US" w:eastAsia="zh-CN"/>
        </w:rPr>
      </w:pPr>
      <w:r>
        <w:rPr>
          <w:rFonts w:hint="eastAsia"/>
          <w:lang w:val="en-US" w:eastAsia="zh-CN"/>
        </w:rPr>
        <w:t>有安全食用历史类原料，应对其食用历史、生产工艺等进行全面充分研究，确保原料或制备该原料的原材料有可安全食用的特性。此类原料在安全评估时可豁免系统毒性，结合产品使用部位和使用方式等，对局部毒性进行评估。安全食用历史的证明材料应符合《化妆品原料数据使用指南》要求。</w:t>
      </w:r>
    </w:p>
    <w:p w14:paraId="208BE562">
      <w:pPr>
        <w:pStyle w:val="105"/>
        <w:numPr>
          <w:ilvl w:val="2"/>
          <w:numId w:val="0"/>
        </w:numPr>
        <w:spacing w:before="120" w:after="120"/>
        <w:ind w:leftChars="0"/>
        <w:rPr>
          <w:rFonts w:hint="default"/>
          <w:lang w:val="en-US"/>
        </w:rPr>
      </w:pPr>
      <w:r>
        <w:rPr>
          <w:rFonts w:hint="eastAsia" w:hAnsi="黑体" w:cs="黑体"/>
          <w:sz w:val="21"/>
          <w:szCs w:val="21"/>
          <w:lang w:val="en-US" w:eastAsia="zh-CN"/>
        </w:rPr>
        <w:t>A.6  结构和性质稳定的高分子聚合物（具有较高生物活性的原料除外）</w:t>
      </w:r>
    </w:p>
    <w:p w14:paraId="40765A7C">
      <w:pPr>
        <w:pStyle w:val="56"/>
        <w:rPr>
          <w:rFonts w:hint="eastAsia"/>
          <w:lang w:val="en-US" w:eastAsia="zh-CN"/>
        </w:rPr>
      </w:pPr>
      <w:r>
        <w:rPr>
          <w:rFonts w:hint="eastAsia"/>
          <w:lang w:val="en-US" w:eastAsia="zh-CN"/>
        </w:rPr>
        <w:t>化学合成的由一种或一种以上结构单元，通过共价键连接，平均相对分子质量大于1000道尔顿，且相对分子质量小于1000道尔顿的低聚体含量少于10%，结构和性质稳定的聚合物（具有较高生物活性的原料除外），安全评估时可不考虑透皮吸收，结合产品使用部位和使用方式等，对局部毒性进行评估。证明材料应符合《化妆品原料数据使用指南》要求。</w:t>
      </w:r>
    </w:p>
    <w:p w14:paraId="2721F6FA">
      <w:pPr>
        <w:pStyle w:val="56"/>
        <w:rPr>
          <w:rFonts w:hint="eastAsia" w:ascii="宋体" w:hAnsi="宋体" w:eastAsia="宋体" w:cs="宋体"/>
          <w:i w:val="0"/>
          <w:iCs w:val="0"/>
          <w:caps w:val="0"/>
          <w:color w:val="333333"/>
          <w:spacing w:val="0"/>
          <w:sz w:val="18"/>
          <w:szCs w:val="18"/>
          <w:shd w:val="clear" w:fill="FFFFFF"/>
          <w:lang w:val="en-US" w:eastAsia="zh-CN"/>
        </w:rPr>
      </w:pPr>
      <w:r>
        <w:rPr>
          <w:rFonts w:hint="eastAsia" w:ascii="黑体" w:hAnsi="黑体" w:eastAsia="黑体" w:cs="黑体"/>
          <w:i w:val="0"/>
          <w:iCs w:val="0"/>
          <w:caps w:val="0"/>
          <w:color w:val="333333"/>
          <w:spacing w:val="0"/>
          <w:sz w:val="18"/>
          <w:szCs w:val="18"/>
          <w:shd w:val="clear" w:fill="FFFFFF"/>
          <w:lang w:val="en-US" w:eastAsia="zh-CN"/>
        </w:rPr>
        <w:t>注</w:t>
      </w:r>
      <w:r>
        <w:rPr>
          <w:rFonts w:hint="eastAsia" w:ascii="宋体" w:hAnsi="宋体" w:eastAsia="宋体" w:cs="宋体"/>
          <w:i w:val="0"/>
          <w:iCs w:val="0"/>
          <w:caps w:val="0"/>
          <w:color w:val="333333"/>
          <w:spacing w:val="0"/>
          <w:sz w:val="18"/>
          <w:szCs w:val="18"/>
          <w:shd w:val="clear" w:fill="FFFFFF"/>
          <w:lang w:val="en-US" w:eastAsia="zh-CN"/>
        </w:rPr>
        <w:t>：局部毒性仅评估眼刺激、皮肤刺激、皮肤光毒性。</w:t>
      </w:r>
    </w:p>
    <w:p w14:paraId="1D2D8F9F">
      <w:pPr>
        <w:pStyle w:val="56"/>
        <w:rPr>
          <w:rFonts w:hint="eastAsia" w:ascii="宋体" w:hAnsi="宋体" w:eastAsia="宋体" w:cs="宋体"/>
          <w:i w:val="0"/>
          <w:iCs w:val="0"/>
          <w:caps w:val="0"/>
          <w:color w:val="333333"/>
          <w:spacing w:val="0"/>
          <w:sz w:val="18"/>
          <w:szCs w:val="18"/>
          <w:shd w:val="clear" w:fill="FFFFFF"/>
          <w:lang w:val="en-US" w:eastAsia="zh-CN"/>
        </w:rPr>
      </w:pPr>
    </w:p>
    <w:p w14:paraId="557F70F5">
      <w:pPr>
        <w:pStyle w:val="56"/>
        <w:rPr>
          <w:rFonts w:hint="eastAsia" w:ascii="宋体" w:hAnsi="宋体" w:eastAsia="宋体" w:cs="宋体"/>
          <w:i w:val="0"/>
          <w:iCs w:val="0"/>
          <w:caps w:val="0"/>
          <w:color w:val="333333"/>
          <w:spacing w:val="0"/>
          <w:sz w:val="18"/>
          <w:szCs w:val="18"/>
          <w:shd w:val="clear" w:fill="FFFFFF"/>
          <w:lang w:val="en-US" w:eastAsia="zh-CN"/>
        </w:rPr>
      </w:pPr>
    </w:p>
    <w:p w14:paraId="0B209C02">
      <w:pPr>
        <w:pStyle w:val="56"/>
        <w:rPr>
          <w:rFonts w:hint="eastAsia" w:ascii="宋体" w:hAnsi="宋体" w:eastAsia="宋体" w:cs="宋体"/>
          <w:i w:val="0"/>
          <w:iCs w:val="0"/>
          <w:caps w:val="0"/>
          <w:color w:val="333333"/>
          <w:spacing w:val="0"/>
          <w:sz w:val="18"/>
          <w:szCs w:val="18"/>
          <w:shd w:val="clear" w:fill="FFFFFF"/>
          <w:lang w:val="en-US" w:eastAsia="zh-CN"/>
        </w:rPr>
      </w:pPr>
    </w:p>
    <w:p w14:paraId="41177951">
      <w:pPr>
        <w:pStyle w:val="56"/>
        <w:rPr>
          <w:rFonts w:hint="eastAsia" w:ascii="宋体" w:hAnsi="宋体" w:eastAsia="宋体" w:cs="宋体"/>
          <w:i w:val="0"/>
          <w:iCs w:val="0"/>
          <w:caps w:val="0"/>
          <w:color w:val="333333"/>
          <w:spacing w:val="0"/>
          <w:sz w:val="18"/>
          <w:szCs w:val="18"/>
          <w:shd w:val="clear" w:fill="FFFFFF"/>
          <w:lang w:val="en-US" w:eastAsia="zh-CN"/>
        </w:rPr>
      </w:pPr>
    </w:p>
    <w:p w14:paraId="37A36873">
      <w:pPr>
        <w:pStyle w:val="76"/>
        <w:spacing w:after="120"/>
      </w:pPr>
      <w:r>
        <w:br w:type="textWrapping"/>
      </w:r>
      <w:r>
        <w:rPr>
          <w:rFonts w:hint="eastAsia"/>
        </w:rPr>
        <w:t>（</w:t>
      </w:r>
      <w:r>
        <w:rPr>
          <w:rFonts w:hint="eastAsia"/>
          <w:lang w:eastAsia="zh-CN"/>
        </w:rPr>
        <w:t>规范性</w:t>
      </w:r>
      <w:r>
        <w:rPr>
          <w:rFonts w:hint="eastAsia"/>
        </w:rPr>
        <w:t>）</w:t>
      </w:r>
      <w:r>
        <w:br w:type="textWrapping"/>
      </w:r>
      <w:r>
        <w:rPr>
          <w:rFonts w:hint="eastAsia"/>
        </w:rPr>
        <w:t>毒理学终点评估要求</w:t>
      </w:r>
    </w:p>
    <w:p w14:paraId="77312E92">
      <w:pPr>
        <w:pStyle w:val="105"/>
        <w:numPr>
          <w:ilvl w:val="2"/>
          <w:numId w:val="0"/>
        </w:numPr>
        <w:spacing w:before="120" w:after="120"/>
        <w:ind w:leftChars="0"/>
        <w:rPr>
          <w:rFonts w:hint="default"/>
          <w:lang w:val="en-US"/>
        </w:rPr>
      </w:pPr>
      <w:r>
        <w:rPr>
          <w:rFonts w:hint="eastAsia" w:hAnsi="黑体" w:cs="黑体"/>
          <w:sz w:val="21"/>
          <w:szCs w:val="21"/>
          <w:lang w:val="en-US" w:eastAsia="zh-CN"/>
        </w:rPr>
        <w:t>B.1  总体要求</w:t>
      </w:r>
    </w:p>
    <w:p w14:paraId="6136C87F">
      <w:pPr>
        <w:pStyle w:val="174"/>
        <w:numPr>
          <w:ilvl w:val="0"/>
          <w:numId w:val="0"/>
        </w:numPr>
        <w:rPr>
          <w:highlight w:val="none"/>
        </w:rPr>
      </w:pPr>
      <w:r>
        <w:rPr>
          <w:rFonts w:hint="eastAsia" w:ascii="黑体" w:hAnsi="黑体" w:eastAsia="黑体" w:cs="黑体"/>
          <w:lang w:val="en-US" w:eastAsia="zh-CN"/>
        </w:rPr>
        <w:t xml:space="preserve">B.1.1  </w:t>
      </w:r>
      <w:r>
        <w:rPr>
          <w:rFonts w:hint="eastAsia"/>
          <w:lang w:val="en-US" w:eastAsia="zh-CN"/>
        </w:rPr>
        <w:t>毒理学终点的评估优先采用《化妆品安全技术规范》收录的试验方法开展试验获得的测试数据，也可采用国际通行方法开展试验得到的测试数据。此外，在满足伦理要求的前提下，可采用人体试验测试数据。对每个试验数据的试验方法、结果、结论进行分析，确定原料的主要毒性特征及程度。使用动物试验替代方法的测试数据时，应考虑替代方法整合测试与评估策略，如可选择皮肤致敏有害结局路径</w:t>
      </w:r>
      <w:r>
        <w:rPr>
          <w:rFonts w:hint="eastAsia"/>
          <w:highlight w:val="none"/>
          <w:lang w:val="en-US" w:eastAsia="zh-CN"/>
        </w:rPr>
        <w:t>（Adverse Outcome Pathway,AOP）框架下的“3选2”组合策略。</w:t>
      </w:r>
    </w:p>
    <w:p w14:paraId="710D8F5A">
      <w:pPr>
        <w:pStyle w:val="174"/>
        <w:numPr>
          <w:ilvl w:val="0"/>
          <w:numId w:val="0"/>
        </w:numPr>
      </w:pPr>
      <w:r>
        <w:rPr>
          <w:rFonts w:hint="eastAsia" w:ascii="黑体" w:hAnsi="黑体" w:eastAsia="黑体" w:cs="黑体"/>
          <w:highlight w:val="none"/>
          <w:lang w:val="en-US" w:eastAsia="zh-CN"/>
        </w:rPr>
        <w:t xml:space="preserve">B.1.2  </w:t>
      </w:r>
      <w:r>
        <w:rPr>
          <w:rFonts w:hint="eastAsia"/>
          <w:highlight w:val="none"/>
          <w:lang w:val="en-US" w:eastAsia="zh-CN"/>
        </w:rPr>
        <w:t>根据原料的化学结构特点，对原料进行充分分</w:t>
      </w:r>
      <w:r>
        <w:rPr>
          <w:rFonts w:hint="eastAsia"/>
          <w:lang w:val="en-US" w:eastAsia="zh-CN"/>
        </w:rPr>
        <w:t>析或测试能够证明其不具有紫外线吸收特性的，可豁免对皮肤光毒性的评估。例如，在290nm-700nm波长范围内的摩尔消光系数（Molar Extinction Coefficient,MEC）小于1000L/mol/cm，则该物质的光反应性较低，不足以引起皮肤光毒性。</w:t>
      </w:r>
    </w:p>
    <w:p w14:paraId="2C694993">
      <w:pPr>
        <w:pStyle w:val="174"/>
        <w:numPr>
          <w:ilvl w:val="0"/>
          <w:numId w:val="0"/>
        </w:numPr>
      </w:pPr>
      <w:r>
        <w:rPr>
          <w:rFonts w:hint="eastAsia" w:ascii="黑体" w:hAnsi="黑体" w:eastAsia="黑体" w:cs="黑体"/>
          <w:lang w:val="en-US" w:eastAsia="zh-CN"/>
        </w:rPr>
        <w:t xml:space="preserve">B.1.3  </w:t>
      </w:r>
      <w:r>
        <w:rPr>
          <w:rFonts w:hint="eastAsia"/>
          <w:lang w:val="en-US" w:eastAsia="zh-CN"/>
        </w:rPr>
        <w:t>原料经基因水平和染色体水平的毒理学试验结果均未显示具有遗传毒性，且重复剂量毒性试验未发现致癌性相关指标异常，也无其他已有证据显示有相关危害，经对上述相关资料进行充分分析，确认无潜在的致癌风险，可豁免其致癌性毒理学试验数据的评估。</w:t>
      </w:r>
    </w:p>
    <w:p w14:paraId="1B8DEE67">
      <w:pPr>
        <w:pStyle w:val="105"/>
        <w:numPr>
          <w:ilvl w:val="2"/>
          <w:numId w:val="0"/>
        </w:numPr>
        <w:spacing w:before="120" w:after="120"/>
        <w:ind w:leftChars="0"/>
        <w:rPr>
          <w:rFonts w:hint="default"/>
          <w:lang w:val="en-US"/>
        </w:rPr>
      </w:pPr>
      <w:r>
        <w:rPr>
          <w:rFonts w:hint="eastAsia" w:hAnsi="黑体" w:cs="黑体"/>
          <w:sz w:val="21"/>
          <w:szCs w:val="21"/>
          <w:lang w:val="en-US" w:eastAsia="zh-CN"/>
        </w:rPr>
        <w:t>B.2  毒理学测试</w:t>
      </w:r>
    </w:p>
    <w:p w14:paraId="602D5CA6">
      <w:pPr>
        <w:pStyle w:val="56"/>
        <w:ind w:left="0" w:leftChars="0" w:firstLine="0" w:firstLineChars="0"/>
        <w:rPr>
          <w:rFonts w:hint="eastAsia"/>
          <w:lang w:val="en-US" w:eastAsia="zh-CN"/>
        </w:rPr>
      </w:pPr>
      <w:r>
        <w:rPr>
          <w:rFonts w:hint="eastAsia" w:ascii="黑体" w:hAnsi="黑体" w:eastAsia="黑体" w:cs="黑体"/>
          <w:sz w:val="21"/>
          <w:szCs w:val="21"/>
          <w:lang w:val="en-US" w:eastAsia="zh-CN"/>
        </w:rPr>
        <w:t xml:space="preserve">B.2.1  </w:t>
      </w:r>
      <w:r>
        <w:rPr>
          <w:rFonts w:hint="eastAsia"/>
          <w:lang w:val="en-US" w:eastAsia="zh-CN"/>
        </w:rPr>
        <w:t>毒理学测试的分类、项目参考如下：</w:t>
      </w:r>
    </w:p>
    <w:p w14:paraId="6648E3AE">
      <w:pPr>
        <w:pStyle w:val="112"/>
        <w:numPr>
          <w:ilvl w:val="0"/>
          <w:numId w:val="0"/>
        </w:numPr>
        <w:spacing w:before="120" w:after="120"/>
        <w:ind w:leftChars="0"/>
        <w:jc w:val="center"/>
      </w:pPr>
      <w:r>
        <w:rPr>
          <w:rFonts w:hint="eastAsia"/>
          <w:lang w:eastAsia="zh-CN"/>
        </w:rPr>
        <w:t>表</w:t>
      </w:r>
      <w:r>
        <w:rPr>
          <w:rFonts w:hint="eastAsia"/>
          <w:lang w:val="en-US" w:eastAsia="zh-CN"/>
        </w:rPr>
        <w:t>B.1  毒理学测试的分类、项目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4906"/>
        <w:gridCol w:w="2453"/>
      </w:tblGrid>
      <w:tr w14:paraId="394B2C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blHeader/>
          <w:jc w:val="center"/>
        </w:trPr>
        <w:tc>
          <w:tcPr>
            <w:tcW w:w="1975" w:type="dxa"/>
            <w:tcBorders>
              <w:top w:val="single" w:color="auto" w:sz="8" w:space="0"/>
              <w:bottom w:val="single" w:color="auto" w:sz="8" w:space="0"/>
            </w:tcBorders>
            <w:vAlign w:val="center"/>
          </w:tcPr>
          <w:p w14:paraId="592014A4">
            <w:pPr>
              <w:pStyle w:val="178"/>
              <w:rPr>
                <w:rFonts w:hint="eastAsia" w:eastAsia="宋体"/>
                <w:lang w:eastAsia="zh-CN"/>
              </w:rPr>
            </w:pPr>
            <w:r>
              <w:rPr>
                <w:rFonts w:hint="eastAsia"/>
                <w:lang w:val="en-US" w:eastAsia="zh-CN"/>
              </w:rPr>
              <w:t>分类</w:t>
            </w:r>
          </w:p>
        </w:tc>
        <w:tc>
          <w:tcPr>
            <w:tcW w:w="4906" w:type="dxa"/>
            <w:tcBorders>
              <w:top w:val="single" w:color="auto" w:sz="8" w:space="0"/>
              <w:bottom w:val="single" w:color="auto" w:sz="8" w:space="0"/>
            </w:tcBorders>
            <w:vAlign w:val="center"/>
          </w:tcPr>
          <w:p w14:paraId="677020EA">
            <w:pPr>
              <w:pStyle w:val="178"/>
            </w:pPr>
            <w:r>
              <w:rPr>
                <w:rFonts w:hint="eastAsia"/>
              </w:rPr>
              <w:t>项目</w:t>
            </w:r>
          </w:p>
        </w:tc>
        <w:tc>
          <w:tcPr>
            <w:tcW w:w="2453" w:type="dxa"/>
            <w:tcBorders>
              <w:top w:val="single" w:color="auto" w:sz="8" w:space="0"/>
              <w:bottom w:val="single" w:color="auto" w:sz="8" w:space="0"/>
            </w:tcBorders>
            <w:vAlign w:val="center"/>
          </w:tcPr>
          <w:p w14:paraId="52B08F1A">
            <w:pPr>
              <w:pStyle w:val="178"/>
              <w:rPr>
                <w:rFonts w:hint="eastAsia" w:eastAsia="宋体"/>
                <w:lang w:eastAsia="zh-CN"/>
              </w:rPr>
            </w:pPr>
            <w:r>
              <w:rPr>
                <w:rFonts w:hint="eastAsia"/>
                <w:lang w:val="en-US" w:eastAsia="zh-CN"/>
              </w:rPr>
              <w:t>备注</w:t>
            </w:r>
          </w:p>
        </w:tc>
      </w:tr>
      <w:tr w14:paraId="3B578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restart"/>
            <w:tcBorders>
              <w:top w:val="single" w:color="auto" w:sz="8" w:space="0"/>
            </w:tcBorders>
            <w:vAlign w:val="center"/>
          </w:tcPr>
          <w:p w14:paraId="480AC0F7">
            <w:pPr>
              <w:pStyle w:val="178"/>
            </w:pPr>
            <w:r>
              <w:rPr>
                <w:rFonts w:hint="eastAsia"/>
              </w:rPr>
              <w:t>急性毒性</w:t>
            </w:r>
          </w:p>
        </w:tc>
        <w:tc>
          <w:tcPr>
            <w:tcW w:w="4906" w:type="dxa"/>
            <w:tcBorders>
              <w:top w:val="single" w:color="auto" w:sz="8" w:space="0"/>
            </w:tcBorders>
            <w:vAlign w:val="center"/>
          </w:tcPr>
          <w:p w14:paraId="65BA16B6">
            <w:pPr>
              <w:pStyle w:val="178"/>
            </w:pPr>
            <w:r>
              <w:rPr>
                <w:rFonts w:hint="eastAsia"/>
              </w:rPr>
              <w:t>急性经口毒性试验</w:t>
            </w:r>
          </w:p>
        </w:tc>
        <w:tc>
          <w:tcPr>
            <w:tcW w:w="2453" w:type="dxa"/>
            <w:tcBorders>
              <w:top w:val="single" w:color="auto" w:sz="8" w:space="0"/>
            </w:tcBorders>
            <w:vAlign w:val="center"/>
          </w:tcPr>
          <w:p w14:paraId="71824B76">
            <w:pPr>
              <w:pStyle w:val="178"/>
            </w:pPr>
          </w:p>
        </w:tc>
      </w:tr>
      <w:tr w14:paraId="3DC33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83" w:hRule="atLeast"/>
          <w:jc w:val="center"/>
        </w:trPr>
        <w:tc>
          <w:tcPr>
            <w:tcW w:w="1975" w:type="dxa"/>
            <w:vMerge w:val="continue"/>
            <w:vAlign w:val="center"/>
          </w:tcPr>
          <w:p w14:paraId="414236E8">
            <w:pPr>
              <w:pStyle w:val="178"/>
            </w:pPr>
          </w:p>
        </w:tc>
        <w:tc>
          <w:tcPr>
            <w:tcW w:w="4906" w:type="dxa"/>
            <w:vAlign w:val="center"/>
          </w:tcPr>
          <w:p w14:paraId="506B0AC2">
            <w:pPr>
              <w:pStyle w:val="178"/>
            </w:pPr>
            <w:r>
              <w:rPr>
                <w:rFonts w:hint="eastAsia"/>
              </w:rPr>
              <w:t>急性经皮毒性试验</w:t>
            </w:r>
          </w:p>
        </w:tc>
        <w:tc>
          <w:tcPr>
            <w:tcW w:w="2453" w:type="dxa"/>
            <w:vAlign w:val="center"/>
          </w:tcPr>
          <w:p w14:paraId="60AA00B1">
            <w:pPr>
              <w:pStyle w:val="178"/>
            </w:pPr>
          </w:p>
        </w:tc>
      </w:tr>
      <w:tr w14:paraId="08586C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610B10C5">
            <w:pPr>
              <w:pStyle w:val="178"/>
              <w:rPr>
                <w:rFonts w:hint="eastAsia"/>
              </w:rPr>
            </w:pPr>
          </w:p>
        </w:tc>
        <w:tc>
          <w:tcPr>
            <w:tcW w:w="4906" w:type="dxa"/>
            <w:vAlign w:val="center"/>
          </w:tcPr>
          <w:p w14:paraId="66DAECDC">
            <w:pPr>
              <w:pStyle w:val="178"/>
              <w:rPr>
                <w:rFonts w:hint="eastAsia"/>
              </w:rPr>
            </w:pPr>
            <w:r>
              <w:rPr>
                <w:rFonts w:hint="eastAsia"/>
              </w:rPr>
              <w:t>急性吸入毒性试验</w:t>
            </w:r>
          </w:p>
        </w:tc>
        <w:tc>
          <w:tcPr>
            <w:tcW w:w="2453" w:type="dxa"/>
            <w:vAlign w:val="center"/>
          </w:tcPr>
          <w:p w14:paraId="4A8C7C5A">
            <w:pPr>
              <w:pStyle w:val="178"/>
              <w:rPr>
                <w:rFonts w:hint="eastAsia"/>
              </w:rPr>
            </w:pPr>
          </w:p>
        </w:tc>
      </w:tr>
      <w:tr w14:paraId="32B3FA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restart"/>
            <w:vAlign w:val="center"/>
          </w:tcPr>
          <w:p w14:paraId="5FFCBA36">
            <w:pPr>
              <w:pStyle w:val="178"/>
              <w:rPr>
                <w:rFonts w:hint="eastAsia"/>
              </w:rPr>
            </w:pPr>
            <w:r>
              <w:rPr>
                <w:rFonts w:hint="eastAsia" w:ascii="宋体" w:hAnsi="宋体" w:eastAsia="宋体" w:cs="宋体"/>
                <w:i w:val="0"/>
                <w:iCs w:val="0"/>
                <w:color w:val="000000"/>
                <w:kern w:val="0"/>
                <w:sz w:val="21"/>
                <w:szCs w:val="21"/>
                <w:u w:val="none"/>
                <w:lang w:val="en-US" w:eastAsia="zh-CN" w:bidi="ar"/>
              </w:rPr>
              <w:t>局部毒性</w:t>
            </w:r>
          </w:p>
        </w:tc>
        <w:tc>
          <w:tcPr>
            <w:tcW w:w="4906" w:type="dxa"/>
            <w:vAlign w:val="center"/>
          </w:tcPr>
          <w:p w14:paraId="5493F021">
            <w:pPr>
              <w:pStyle w:val="178"/>
              <w:rPr>
                <w:rFonts w:hint="eastAsia"/>
              </w:rPr>
            </w:pPr>
            <w:r>
              <w:rPr>
                <w:rFonts w:hint="eastAsia"/>
              </w:rPr>
              <w:t>皮肤刺激性/腐蚀性试验</w:t>
            </w:r>
          </w:p>
        </w:tc>
        <w:tc>
          <w:tcPr>
            <w:tcW w:w="2453" w:type="dxa"/>
            <w:vAlign w:val="center"/>
          </w:tcPr>
          <w:p w14:paraId="4D50FBA6">
            <w:pPr>
              <w:pStyle w:val="178"/>
              <w:rPr>
                <w:rFonts w:hint="eastAsia"/>
              </w:rPr>
            </w:pPr>
          </w:p>
        </w:tc>
      </w:tr>
      <w:tr w14:paraId="252EC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1E74AD85">
            <w:pPr>
              <w:pStyle w:val="178"/>
              <w:rPr>
                <w:rFonts w:hint="eastAsia"/>
              </w:rPr>
            </w:pPr>
          </w:p>
        </w:tc>
        <w:tc>
          <w:tcPr>
            <w:tcW w:w="4906" w:type="dxa"/>
            <w:vAlign w:val="center"/>
          </w:tcPr>
          <w:p w14:paraId="42B7144D">
            <w:pPr>
              <w:pStyle w:val="178"/>
              <w:rPr>
                <w:rFonts w:hint="eastAsia"/>
              </w:rPr>
            </w:pPr>
            <w:r>
              <w:rPr>
                <w:rFonts w:hint="eastAsia"/>
              </w:rPr>
              <w:t>急性眼刺激性/腐蚀性试验</w:t>
            </w:r>
          </w:p>
        </w:tc>
        <w:tc>
          <w:tcPr>
            <w:tcW w:w="2453" w:type="dxa"/>
            <w:vAlign w:val="center"/>
          </w:tcPr>
          <w:p w14:paraId="148682D1">
            <w:pPr>
              <w:pStyle w:val="178"/>
              <w:rPr>
                <w:rFonts w:hint="eastAsia"/>
              </w:rPr>
            </w:pPr>
          </w:p>
        </w:tc>
      </w:tr>
      <w:tr w14:paraId="625F9A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469616D6">
            <w:pPr>
              <w:pStyle w:val="178"/>
              <w:rPr>
                <w:rFonts w:hint="eastAsia"/>
              </w:rPr>
            </w:pPr>
          </w:p>
        </w:tc>
        <w:tc>
          <w:tcPr>
            <w:tcW w:w="4906" w:type="dxa"/>
            <w:vAlign w:val="center"/>
          </w:tcPr>
          <w:p w14:paraId="52E16FBF">
            <w:pPr>
              <w:pStyle w:val="178"/>
              <w:rPr>
                <w:rFonts w:hint="eastAsia"/>
              </w:rPr>
            </w:pPr>
            <w:r>
              <w:rPr>
                <w:rFonts w:hint="eastAsia"/>
              </w:rPr>
              <w:t>皮肤变态反应试验</w:t>
            </w:r>
          </w:p>
        </w:tc>
        <w:tc>
          <w:tcPr>
            <w:tcW w:w="2453" w:type="dxa"/>
            <w:vAlign w:val="center"/>
          </w:tcPr>
          <w:p w14:paraId="3EB274C2">
            <w:pPr>
              <w:pStyle w:val="178"/>
              <w:rPr>
                <w:rFonts w:hint="eastAsia"/>
              </w:rPr>
            </w:pPr>
          </w:p>
        </w:tc>
      </w:tr>
      <w:tr w14:paraId="185A1C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10701CA3">
            <w:pPr>
              <w:pStyle w:val="178"/>
              <w:rPr>
                <w:rFonts w:hint="eastAsia"/>
              </w:rPr>
            </w:pPr>
          </w:p>
        </w:tc>
        <w:tc>
          <w:tcPr>
            <w:tcW w:w="4906" w:type="dxa"/>
            <w:vAlign w:val="center"/>
          </w:tcPr>
          <w:p w14:paraId="013E09A6">
            <w:pPr>
              <w:pStyle w:val="178"/>
              <w:rPr>
                <w:rFonts w:hint="eastAsia"/>
              </w:rPr>
            </w:pPr>
            <w:r>
              <w:rPr>
                <w:rFonts w:hint="eastAsia"/>
              </w:rPr>
              <w:t>皮肤光毒性试验</w:t>
            </w:r>
          </w:p>
        </w:tc>
        <w:tc>
          <w:tcPr>
            <w:tcW w:w="2453" w:type="dxa"/>
            <w:vAlign w:val="center"/>
          </w:tcPr>
          <w:p w14:paraId="15C00AA7">
            <w:pPr>
              <w:pStyle w:val="178"/>
              <w:rPr>
                <w:rFonts w:hint="eastAsia"/>
              </w:rPr>
            </w:pPr>
          </w:p>
        </w:tc>
      </w:tr>
      <w:tr w14:paraId="62AEBA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04B77094">
            <w:pPr>
              <w:pStyle w:val="178"/>
              <w:rPr>
                <w:rFonts w:hint="eastAsia"/>
              </w:rPr>
            </w:pPr>
          </w:p>
        </w:tc>
        <w:tc>
          <w:tcPr>
            <w:tcW w:w="4906" w:type="dxa"/>
            <w:vAlign w:val="center"/>
          </w:tcPr>
          <w:p w14:paraId="071EBAB9">
            <w:pPr>
              <w:pStyle w:val="178"/>
              <w:rPr>
                <w:rFonts w:hint="eastAsia"/>
              </w:rPr>
            </w:pPr>
            <w:r>
              <w:rPr>
                <w:rFonts w:hint="eastAsia"/>
              </w:rPr>
              <w:t>皮肤光变态反应试验</w:t>
            </w:r>
          </w:p>
        </w:tc>
        <w:tc>
          <w:tcPr>
            <w:tcW w:w="2453" w:type="dxa"/>
            <w:vAlign w:val="center"/>
          </w:tcPr>
          <w:p w14:paraId="35BAD07B">
            <w:pPr>
              <w:pStyle w:val="178"/>
              <w:rPr>
                <w:rFonts w:hint="eastAsia"/>
              </w:rPr>
            </w:pPr>
          </w:p>
        </w:tc>
      </w:tr>
      <w:tr w14:paraId="7BFD4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108C09E2">
            <w:pPr>
              <w:pStyle w:val="178"/>
              <w:rPr>
                <w:rFonts w:hint="eastAsia"/>
              </w:rPr>
            </w:pPr>
          </w:p>
        </w:tc>
        <w:tc>
          <w:tcPr>
            <w:tcW w:w="4906" w:type="dxa"/>
            <w:vAlign w:val="center"/>
          </w:tcPr>
          <w:p w14:paraId="024B4A2B">
            <w:pPr>
              <w:pStyle w:val="178"/>
              <w:rPr>
                <w:rFonts w:hint="eastAsia"/>
              </w:rPr>
            </w:pPr>
            <w:r>
              <w:rPr>
                <w:rFonts w:hint="eastAsia"/>
              </w:rPr>
              <w:t>化妆品用化学原料体外皮肤变态反应：直接多肽反应试验</w:t>
            </w:r>
          </w:p>
        </w:tc>
        <w:tc>
          <w:tcPr>
            <w:tcW w:w="2453" w:type="dxa"/>
            <w:vAlign w:val="center"/>
          </w:tcPr>
          <w:p w14:paraId="2D91F602">
            <w:pPr>
              <w:pStyle w:val="178"/>
              <w:rPr>
                <w:rFonts w:hint="default" w:eastAsia="宋体"/>
                <w:lang w:val="en-US" w:eastAsia="zh-CN"/>
              </w:rPr>
            </w:pPr>
            <w:r>
              <w:rPr>
                <w:rFonts w:hint="eastAsia" w:hAnsi="宋体" w:cs="宋体"/>
                <w:kern w:val="0"/>
                <w:sz w:val="21"/>
                <w:szCs w:val="21"/>
                <w:lang w:val="en-US" w:eastAsia="zh-CN"/>
              </w:rPr>
              <w:t>KE1</w:t>
            </w:r>
          </w:p>
        </w:tc>
      </w:tr>
      <w:tr w14:paraId="3AC3C3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60F3E56F">
            <w:pPr>
              <w:pStyle w:val="178"/>
              <w:rPr>
                <w:rFonts w:hint="eastAsia"/>
              </w:rPr>
            </w:pPr>
          </w:p>
        </w:tc>
        <w:tc>
          <w:tcPr>
            <w:tcW w:w="4906" w:type="dxa"/>
            <w:vAlign w:val="center"/>
          </w:tcPr>
          <w:p w14:paraId="7F5834EE">
            <w:pPr>
              <w:pStyle w:val="178"/>
              <w:rPr>
                <w:rFonts w:hint="eastAsia"/>
              </w:rPr>
            </w:pPr>
            <w:r>
              <w:rPr>
                <w:rFonts w:hint="eastAsia"/>
              </w:rPr>
              <w:t>体外皮肤变态反应 氨基酸衍生化反应试验方法</w:t>
            </w:r>
          </w:p>
        </w:tc>
        <w:tc>
          <w:tcPr>
            <w:tcW w:w="2453" w:type="dxa"/>
            <w:vAlign w:val="center"/>
          </w:tcPr>
          <w:p w14:paraId="5AB4F5D5">
            <w:pPr>
              <w:pStyle w:val="178"/>
              <w:rPr>
                <w:rFonts w:hint="eastAsia"/>
              </w:rPr>
            </w:pPr>
            <w:r>
              <w:rPr>
                <w:rFonts w:hint="eastAsia" w:hAnsi="宋体" w:cs="宋体"/>
                <w:kern w:val="0"/>
                <w:sz w:val="21"/>
                <w:szCs w:val="21"/>
                <w:lang w:val="en-US" w:eastAsia="zh-CN"/>
              </w:rPr>
              <w:t>KE1</w:t>
            </w:r>
          </w:p>
        </w:tc>
      </w:tr>
      <w:tr w14:paraId="68026B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20D563B0">
            <w:pPr>
              <w:pStyle w:val="178"/>
              <w:rPr>
                <w:rFonts w:hint="eastAsia"/>
              </w:rPr>
            </w:pPr>
          </w:p>
        </w:tc>
        <w:tc>
          <w:tcPr>
            <w:tcW w:w="4906" w:type="dxa"/>
            <w:vAlign w:val="center"/>
          </w:tcPr>
          <w:p w14:paraId="095EBBA9">
            <w:pPr>
              <w:pStyle w:val="178"/>
              <w:rPr>
                <w:rFonts w:hint="eastAsia"/>
              </w:rPr>
            </w:pPr>
            <w:r>
              <w:rPr>
                <w:rFonts w:hint="eastAsia"/>
              </w:rPr>
              <w:t>体外皮肤变态反应 动力学直接多肽反应试验方法</w:t>
            </w:r>
          </w:p>
        </w:tc>
        <w:tc>
          <w:tcPr>
            <w:tcW w:w="2453" w:type="dxa"/>
            <w:vAlign w:val="center"/>
          </w:tcPr>
          <w:p w14:paraId="630D8FBD">
            <w:pPr>
              <w:pStyle w:val="178"/>
              <w:rPr>
                <w:rFonts w:hint="eastAsia"/>
              </w:rPr>
            </w:pPr>
            <w:r>
              <w:rPr>
                <w:rFonts w:hint="eastAsia" w:hAnsi="宋体" w:cs="宋体"/>
                <w:kern w:val="0"/>
                <w:sz w:val="21"/>
                <w:szCs w:val="21"/>
                <w:lang w:val="en-US" w:eastAsia="zh-CN"/>
              </w:rPr>
              <w:t>KE1</w:t>
            </w:r>
          </w:p>
        </w:tc>
      </w:tr>
      <w:tr w14:paraId="41D2F6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7ACEB37A">
            <w:pPr>
              <w:pStyle w:val="178"/>
              <w:rPr>
                <w:rFonts w:hint="eastAsia"/>
              </w:rPr>
            </w:pPr>
          </w:p>
        </w:tc>
        <w:tc>
          <w:tcPr>
            <w:tcW w:w="4906" w:type="dxa"/>
            <w:vAlign w:val="center"/>
          </w:tcPr>
          <w:p w14:paraId="618F3CB9">
            <w:pPr>
              <w:pStyle w:val="178"/>
              <w:rPr>
                <w:rFonts w:hint="eastAsia"/>
              </w:rPr>
            </w:pPr>
            <w:r>
              <w:rPr>
                <w:rFonts w:hint="eastAsia"/>
              </w:rPr>
              <w:t>体外皮肤变态反应ARE-Nrf2荧光素酶LuSens试验方法</w:t>
            </w:r>
          </w:p>
        </w:tc>
        <w:tc>
          <w:tcPr>
            <w:tcW w:w="2453" w:type="dxa"/>
            <w:vAlign w:val="center"/>
          </w:tcPr>
          <w:p w14:paraId="1A4BFE64">
            <w:pPr>
              <w:pStyle w:val="178"/>
              <w:rPr>
                <w:rFonts w:hint="eastAsia"/>
              </w:rPr>
            </w:pPr>
            <w:r>
              <w:rPr>
                <w:rFonts w:hint="eastAsia" w:hAnsi="宋体" w:cs="宋体"/>
                <w:kern w:val="0"/>
                <w:sz w:val="21"/>
                <w:szCs w:val="21"/>
                <w:lang w:val="en-US" w:eastAsia="zh-CN"/>
              </w:rPr>
              <w:t>KE2</w:t>
            </w:r>
          </w:p>
        </w:tc>
      </w:tr>
      <w:tr w14:paraId="4E46DB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04D76779">
            <w:pPr>
              <w:pStyle w:val="178"/>
              <w:rPr>
                <w:rFonts w:hint="eastAsia"/>
              </w:rPr>
            </w:pPr>
          </w:p>
        </w:tc>
        <w:tc>
          <w:tcPr>
            <w:tcW w:w="4906" w:type="dxa"/>
            <w:vAlign w:val="center"/>
          </w:tcPr>
          <w:p w14:paraId="57833059">
            <w:pPr>
              <w:pStyle w:val="178"/>
              <w:rPr>
                <w:rFonts w:hint="eastAsia"/>
              </w:rPr>
            </w:pPr>
            <w:r>
              <w:rPr>
                <w:rFonts w:hint="eastAsia"/>
              </w:rPr>
              <w:t>体外皮肤变态反应 人细胞系活化试验</w:t>
            </w:r>
          </w:p>
        </w:tc>
        <w:tc>
          <w:tcPr>
            <w:tcW w:w="2453" w:type="dxa"/>
            <w:vAlign w:val="center"/>
          </w:tcPr>
          <w:p w14:paraId="015A55EB">
            <w:pPr>
              <w:pStyle w:val="178"/>
              <w:rPr>
                <w:rFonts w:hint="eastAsia"/>
              </w:rPr>
            </w:pPr>
            <w:r>
              <w:rPr>
                <w:rFonts w:hint="eastAsia" w:hAnsi="宋体" w:cs="宋体"/>
                <w:kern w:val="0"/>
                <w:sz w:val="21"/>
                <w:szCs w:val="21"/>
                <w:lang w:val="en-US" w:eastAsia="zh-CN"/>
              </w:rPr>
              <w:t>KE3</w:t>
            </w:r>
          </w:p>
        </w:tc>
      </w:tr>
      <w:tr w14:paraId="10BA08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707083B5">
            <w:pPr>
              <w:pStyle w:val="178"/>
              <w:rPr>
                <w:rFonts w:hint="eastAsia"/>
              </w:rPr>
            </w:pPr>
          </w:p>
        </w:tc>
        <w:tc>
          <w:tcPr>
            <w:tcW w:w="4906" w:type="dxa"/>
            <w:vAlign w:val="center"/>
          </w:tcPr>
          <w:p w14:paraId="54698285">
            <w:pPr>
              <w:pStyle w:val="178"/>
              <w:rPr>
                <w:rFonts w:hint="eastAsia"/>
              </w:rPr>
            </w:pPr>
            <w:r>
              <w:rPr>
                <w:rFonts w:hint="eastAsia"/>
              </w:rPr>
              <w:t>体外皮肤变态反应 U937细胞激活试验方法</w:t>
            </w:r>
          </w:p>
        </w:tc>
        <w:tc>
          <w:tcPr>
            <w:tcW w:w="2453" w:type="dxa"/>
            <w:vAlign w:val="center"/>
          </w:tcPr>
          <w:p w14:paraId="316DEBDB">
            <w:pPr>
              <w:pStyle w:val="178"/>
              <w:rPr>
                <w:rFonts w:hint="eastAsia"/>
              </w:rPr>
            </w:pPr>
            <w:r>
              <w:rPr>
                <w:rFonts w:hint="eastAsia" w:hAnsi="宋体" w:cs="宋体"/>
                <w:kern w:val="0"/>
                <w:sz w:val="21"/>
                <w:szCs w:val="21"/>
                <w:lang w:val="en-US" w:eastAsia="zh-CN"/>
              </w:rPr>
              <w:t>KE3</w:t>
            </w:r>
          </w:p>
        </w:tc>
      </w:tr>
      <w:tr w14:paraId="44E60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restart"/>
            <w:vAlign w:val="center"/>
          </w:tcPr>
          <w:p w14:paraId="64E1876C">
            <w:pPr>
              <w:pStyle w:val="178"/>
              <w:rPr>
                <w:rFonts w:hint="eastAsia"/>
              </w:rPr>
            </w:pPr>
            <w:r>
              <w:rPr>
                <w:rFonts w:hint="eastAsia" w:ascii="宋体" w:hAnsi="宋体" w:eastAsia="宋体" w:cs="宋体"/>
                <w:i w:val="0"/>
                <w:iCs w:val="0"/>
                <w:color w:val="000000"/>
                <w:kern w:val="0"/>
                <w:sz w:val="21"/>
                <w:szCs w:val="21"/>
                <w:u w:val="none"/>
                <w:lang w:val="en-US" w:eastAsia="zh-CN" w:bidi="ar"/>
              </w:rPr>
              <w:t>遗传毒性</w:t>
            </w:r>
          </w:p>
        </w:tc>
        <w:tc>
          <w:tcPr>
            <w:tcW w:w="4906" w:type="dxa"/>
            <w:vAlign w:val="center"/>
          </w:tcPr>
          <w:p w14:paraId="165C989B">
            <w:pPr>
              <w:pStyle w:val="178"/>
              <w:rPr>
                <w:rFonts w:hint="eastAsia"/>
              </w:rPr>
            </w:pPr>
            <w:r>
              <w:rPr>
                <w:rFonts w:hint="eastAsia"/>
              </w:rPr>
              <w:t>细菌回复突变试验</w:t>
            </w:r>
          </w:p>
        </w:tc>
        <w:tc>
          <w:tcPr>
            <w:tcW w:w="2453" w:type="dxa"/>
            <w:vAlign w:val="center"/>
          </w:tcPr>
          <w:p w14:paraId="66C931DF">
            <w:pPr>
              <w:pStyle w:val="178"/>
              <w:rPr>
                <w:rFonts w:hint="eastAsia"/>
              </w:rPr>
            </w:pPr>
          </w:p>
        </w:tc>
      </w:tr>
      <w:tr w14:paraId="3A19C0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5BCFE80C">
            <w:pPr>
              <w:pStyle w:val="178"/>
              <w:rPr>
                <w:rFonts w:hint="eastAsia"/>
              </w:rPr>
            </w:pPr>
          </w:p>
        </w:tc>
        <w:tc>
          <w:tcPr>
            <w:tcW w:w="4906" w:type="dxa"/>
            <w:vAlign w:val="center"/>
          </w:tcPr>
          <w:p w14:paraId="03199669">
            <w:pPr>
              <w:pStyle w:val="178"/>
              <w:rPr>
                <w:rFonts w:hint="eastAsia"/>
              </w:rPr>
            </w:pPr>
            <w:r>
              <w:rPr>
                <w:rFonts w:hint="eastAsia"/>
              </w:rPr>
              <w:t>体外哺乳动物细胞染色体畸变试验</w:t>
            </w:r>
          </w:p>
        </w:tc>
        <w:tc>
          <w:tcPr>
            <w:tcW w:w="2453" w:type="dxa"/>
            <w:vAlign w:val="center"/>
          </w:tcPr>
          <w:p w14:paraId="3AD3803F">
            <w:pPr>
              <w:pStyle w:val="178"/>
              <w:rPr>
                <w:rFonts w:hint="eastAsia"/>
              </w:rPr>
            </w:pPr>
          </w:p>
        </w:tc>
      </w:tr>
      <w:tr w14:paraId="76D164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restart"/>
            <w:vAlign w:val="center"/>
          </w:tcPr>
          <w:p w14:paraId="5D944387">
            <w:pPr>
              <w:pStyle w:val="178"/>
              <w:rPr>
                <w:rFonts w:hint="eastAsia"/>
              </w:rPr>
            </w:pPr>
            <w:r>
              <w:rPr>
                <w:rFonts w:hint="eastAsia"/>
              </w:rPr>
              <w:t>重复剂量毒性毒性</w:t>
            </w:r>
          </w:p>
        </w:tc>
        <w:tc>
          <w:tcPr>
            <w:tcW w:w="4906" w:type="dxa"/>
            <w:vAlign w:val="center"/>
          </w:tcPr>
          <w:p w14:paraId="50C4ECA8">
            <w:pPr>
              <w:pStyle w:val="178"/>
              <w:rPr>
                <w:rFonts w:hint="eastAsia"/>
              </w:rPr>
            </w:pPr>
            <w:r>
              <w:rPr>
                <w:rFonts w:hint="eastAsia"/>
              </w:rPr>
              <w:t>28天重复剂量经口毒性试验方法</w:t>
            </w:r>
          </w:p>
        </w:tc>
        <w:tc>
          <w:tcPr>
            <w:tcW w:w="2453" w:type="dxa"/>
            <w:vAlign w:val="center"/>
          </w:tcPr>
          <w:p w14:paraId="671D55E0">
            <w:pPr>
              <w:pStyle w:val="178"/>
              <w:rPr>
                <w:rFonts w:hint="eastAsia"/>
              </w:rPr>
            </w:pPr>
          </w:p>
        </w:tc>
      </w:tr>
      <w:tr w14:paraId="142907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775238C7">
            <w:pPr>
              <w:pStyle w:val="178"/>
              <w:rPr>
                <w:rFonts w:hint="eastAsia"/>
              </w:rPr>
            </w:pPr>
          </w:p>
        </w:tc>
        <w:tc>
          <w:tcPr>
            <w:tcW w:w="4906" w:type="dxa"/>
            <w:vAlign w:val="center"/>
          </w:tcPr>
          <w:p w14:paraId="053A0BB3">
            <w:pPr>
              <w:pStyle w:val="178"/>
              <w:rPr>
                <w:rFonts w:hint="eastAsia"/>
              </w:rPr>
            </w:pPr>
            <w:r>
              <w:rPr>
                <w:rFonts w:hint="eastAsia"/>
              </w:rPr>
              <w:t>28天重复剂量吸入毒性试验方法</w:t>
            </w:r>
          </w:p>
        </w:tc>
        <w:tc>
          <w:tcPr>
            <w:tcW w:w="2453" w:type="dxa"/>
            <w:vAlign w:val="center"/>
          </w:tcPr>
          <w:p w14:paraId="242896C4">
            <w:pPr>
              <w:pStyle w:val="178"/>
              <w:rPr>
                <w:rFonts w:hint="eastAsia"/>
              </w:rPr>
            </w:pPr>
          </w:p>
        </w:tc>
      </w:tr>
      <w:tr w14:paraId="7C644B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1FC0D416">
            <w:pPr>
              <w:pStyle w:val="178"/>
              <w:rPr>
                <w:rFonts w:hint="eastAsia"/>
              </w:rPr>
            </w:pPr>
          </w:p>
        </w:tc>
        <w:tc>
          <w:tcPr>
            <w:tcW w:w="4906" w:type="dxa"/>
            <w:vAlign w:val="center"/>
          </w:tcPr>
          <w:p w14:paraId="4719C882">
            <w:pPr>
              <w:pStyle w:val="178"/>
              <w:rPr>
                <w:rFonts w:hint="eastAsia"/>
              </w:rPr>
            </w:pPr>
            <w:r>
              <w:rPr>
                <w:rFonts w:hint="eastAsia"/>
              </w:rPr>
              <w:t>亚慢性经口毒性试验</w:t>
            </w:r>
          </w:p>
        </w:tc>
        <w:tc>
          <w:tcPr>
            <w:tcW w:w="2453" w:type="dxa"/>
            <w:vAlign w:val="center"/>
          </w:tcPr>
          <w:p w14:paraId="02AD3AFF">
            <w:pPr>
              <w:pStyle w:val="178"/>
              <w:rPr>
                <w:rFonts w:hint="eastAsia"/>
              </w:rPr>
            </w:pPr>
          </w:p>
        </w:tc>
      </w:tr>
      <w:tr w14:paraId="75865D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5F35203E">
            <w:pPr>
              <w:pStyle w:val="178"/>
              <w:rPr>
                <w:rFonts w:hint="eastAsia"/>
              </w:rPr>
            </w:pPr>
          </w:p>
        </w:tc>
        <w:tc>
          <w:tcPr>
            <w:tcW w:w="4906" w:type="dxa"/>
            <w:vAlign w:val="center"/>
          </w:tcPr>
          <w:p w14:paraId="7FFA748A">
            <w:pPr>
              <w:pStyle w:val="178"/>
              <w:rPr>
                <w:rFonts w:hint="eastAsia"/>
              </w:rPr>
            </w:pPr>
            <w:r>
              <w:rPr>
                <w:rFonts w:hint="eastAsia"/>
              </w:rPr>
              <w:t>亚慢性经皮毒性试验</w:t>
            </w:r>
          </w:p>
        </w:tc>
        <w:tc>
          <w:tcPr>
            <w:tcW w:w="2453" w:type="dxa"/>
            <w:vAlign w:val="center"/>
          </w:tcPr>
          <w:p w14:paraId="5BC2B6D9">
            <w:pPr>
              <w:pStyle w:val="178"/>
              <w:rPr>
                <w:rFonts w:hint="eastAsia"/>
              </w:rPr>
            </w:pPr>
          </w:p>
        </w:tc>
      </w:tr>
      <w:tr w14:paraId="79FC9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Merge w:val="continue"/>
            <w:vAlign w:val="center"/>
          </w:tcPr>
          <w:p w14:paraId="5BB5DFBD">
            <w:pPr>
              <w:pStyle w:val="178"/>
              <w:rPr>
                <w:rFonts w:hint="eastAsia"/>
              </w:rPr>
            </w:pPr>
          </w:p>
        </w:tc>
        <w:tc>
          <w:tcPr>
            <w:tcW w:w="4906" w:type="dxa"/>
            <w:vAlign w:val="center"/>
          </w:tcPr>
          <w:p w14:paraId="59EFF559">
            <w:pPr>
              <w:pStyle w:val="178"/>
              <w:rPr>
                <w:rFonts w:hint="eastAsia"/>
              </w:rPr>
            </w:pPr>
            <w:r>
              <w:rPr>
                <w:rFonts w:hint="eastAsia"/>
              </w:rPr>
              <w:t>90天重复剂量吸入毒性试验方法</w:t>
            </w:r>
          </w:p>
        </w:tc>
        <w:tc>
          <w:tcPr>
            <w:tcW w:w="2453" w:type="dxa"/>
            <w:vAlign w:val="center"/>
          </w:tcPr>
          <w:p w14:paraId="09DD7571">
            <w:pPr>
              <w:pStyle w:val="178"/>
              <w:rPr>
                <w:rFonts w:hint="eastAsia"/>
              </w:rPr>
            </w:pPr>
          </w:p>
        </w:tc>
      </w:tr>
      <w:tr w14:paraId="47FF78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Align w:val="center"/>
          </w:tcPr>
          <w:p w14:paraId="07DE84C1">
            <w:pPr>
              <w:pStyle w:val="178"/>
              <w:rPr>
                <w:rFonts w:hint="eastAsia"/>
              </w:rPr>
            </w:pPr>
            <w:r>
              <w:rPr>
                <w:rFonts w:hint="eastAsia"/>
              </w:rPr>
              <w:t>生殖发育毒性</w:t>
            </w:r>
          </w:p>
        </w:tc>
        <w:tc>
          <w:tcPr>
            <w:tcW w:w="4906" w:type="dxa"/>
            <w:vAlign w:val="center"/>
          </w:tcPr>
          <w:p w14:paraId="1F05A820">
            <w:pPr>
              <w:pStyle w:val="178"/>
              <w:rPr>
                <w:rFonts w:hint="eastAsia"/>
              </w:rPr>
            </w:pPr>
            <w:r>
              <w:rPr>
                <w:rFonts w:hint="eastAsia"/>
              </w:rPr>
              <w:t>致畸试验</w:t>
            </w:r>
          </w:p>
        </w:tc>
        <w:tc>
          <w:tcPr>
            <w:tcW w:w="2453" w:type="dxa"/>
            <w:vAlign w:val="center"/>
          </w:tcPr>
          <w:p w14:paraId="3274FE8C">
            <w:pPr>
              <w:pStyle w:val="178"/>
              <w:rPr>
                <w:rFonts w:hint="eastAsia"/>
              </w:rPr>
            </w:pPr>
          </w:p>
        </w:tc>
      </w:tr>
      <w:tr w14:paraId="20C4C2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975" w:type="dxa"/>
            <w:vAlign w:val="center"/>
          </w:tcPr>
          <w:p w14:paraId="2E9E7E7A">
            <w:pPr>
              <w:pStyle w:val="178"/>
              <w:rPr>
                <w:rFonts w:hint="eastAsia"/>
              </w:rPr>
            </w:pPr>
            <w:r>
              <w:rPr>
                <w:rFonts w:hint="eastAsia"/>
              </w:rPr>
              <w:t>慢性毒性/致癌性</w:t>
            </w:r>
          </w:p>
        </w:tc>
        <w:tc>
          <w:tcPr>
            <w:tcW w:w="4906" w:type="dxa"/>
            <w:vAlign w:val="center"/>
          </w:tcPr>
          <w:p w14:paraId="6B9598BA">
            <w:pPr>
              <w:pStyle w:val="178"/>
              <w:rPr>
                <w:rFonts w:hint="eastAsia"/>
              </w:rPr>
            </w:pPr>
            <w:r>
              <w:rPr>
                <w:rFonts w:hint="eastAsia"/>
              </w:rPr>
              <w:t>慢性毒性/致癌性结合试验</w:t>
            </w:r>
          </w:p>
        </w:tc>
        <w:tc>
          <w:tcPr>
            <w:tcW w:w="2453" w:type="dxa"/>
            <w:vAlign w:val="center"/>
          </w:tcPr>
          <w:p w14:paraId="517296D0">
            <w:pPr>
              <w:pStyle w:val="178"/>
              <w:rPr>
                <w:rFonts w:hint="eastAsia"/>
              </w:rPr>
            </w:pPr>
          </w:p>
        </w:tc>
      </w:tr>
      <w:tr w14:paraId="5E8C41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blHeader/>
          <w:jc w:val="center"/>
        </w:trPr>
        <w:tc>
          <w:tcPr>
            <w:tcW w:w="9334" w:type="dxa"/>
            <w:gridSpan w:val="3"/>
            <w:tcBorders>
              <w:top w:val="single" w:color="auto" w:sz="8" w:space="0"/>
              <w:bottom w:val="single" w:color="auto" w:sz="8" w:space="0"/>
            </w:tcBorders>
            <w:vAlign w:val="center"/>
          </w:tcPr>
          <w:p w14:paraId="073996B2">
            <w:pPr>
              <w:pStyle w:val="178"/>
              <w:ind w:firstLine="180" w:firstLineChars="100"/>
              <w:jc w:val="left"/>
            </w:pPr>
            <w:bookmarkStart w:id="54" w:name="_GoBack"/>
            <w:bookmarkEnd w:id="54"/>
            <w:r>
              <w:rPr>
                <w:rFonts w:hint="eastAsia" w:ascii="黑体" w:hAnsi="黑体" w:eastAsia="黑体" w:cs="黑体"/>
                <w:i w:val="0"/>
                <w:iCs w:val="0"/>
                <w:caps w:val="0"/>
                <w:color w:val="333333"/>
                <w:spacing w:val="0"/>
                <w:sz w:val="18"/>
                <w:szCs w:val="18"/>
                <w:shd w:val="clear" w:fill="FFFFFF"/>
                <w:lang w:val="en-US" w:eastAsia="zh-CN"/>
              </w:rPr>
              <w:t>注</w:t>
            </w:r>
            <w:r>
              <w:rPr>
                <w:rFonts w:hint="eastAsia" w:ascii="宋体" w:hAnsi="宋体" w:eastAsia="宋体" w:cs="宋体"/>
                <w:i w:val="0"/>
                <w:iCs w:val="0"/>
                <w:caps w:val="0"/>
                <w:color w:val="333333"/>
                <w:spacing w:val="0"/>
                <w:sz w:val="18"/>
                <w:szCs w:val="18"/>
                <w:shd w:val="clear" w:fill="FFFFFF"/>
                <w:lang w:val="en-US" w:eastAsia="zh-CN"/>
              </w:rPr>
              <w:t>：在皮肤致敏性AOP中，关键事件KE1为分子起始事件，关键事件KE2和KE3分别为角质形成细胞免疫应答和树突状细胞免疫应答，关键事件KE4为组织器官免疫应答反应（淋巴T细胞增殖），如图B.1 所示。“3选2试验”策略应从KE1～KE3中任意选择两个关键事件，分别选择对应的一项试验方法进行检测，如两个关键事件检测结论一致且试验结果均不在阈值边界范围内，则根据一致的结论判定化妆品原料是否具有皮肤致敏性；否则开展第三个关键事件的检测，根据三个关键事件检测结论中一致的两项结论判定化妆品原料是否具有皮肤致敏性；若三个关键事件检测结论存在矛盾（一项为阳性结果、一项为阴性结果、一项结果在阈值边界范围内）或其中两项以上检测结果均在阈值边界范围内，则判定无法确定皮肤致敏性风险</w:t>
            </w:r>
            <w:r>
              <w:rPr>
                <w:rFonts w:hint="eastAsia" w:hAnsi="宋体" w:cs="宋体"/>
                <w:i w:val="0"/>
                <w:iCs w:val="0"/>
                <w:caps w:val="0"/>
                <w:color w:val="333333"/>
                <w:spacing w:val="0"/>
                <w:sz w:val="18"/>
                <w:szCs w:val="18"/>
                <w:shd w:val="clear" w:fill="FFFFFF"/>
                <w:lang w:val="en-US" w:eastAsia="zh-CN"/>
              </w:rPr>
              <w:t>。</w:t>
            </w:r>
          </w:p>
        </w:tc>
      </w:tr>
    </w:tbl>
    <w:p w14:paraId="70434541">
      <w:pPr>
        <w:pStyle w:val="56"/>
        <w:ind w:left="0" w:leftChars="0" w:firstLine="0" w:firstLineChars="0"/>
        <w:rPr>
          <w:rFonts w:hint="eastAsia" w:ascii="黑体" w:hAnsi="黑体" w:eastAsia="黑体" w:cs="黑体"/>
          <w:sz w:val="21"/>
          <w:szCs w:val="21"/>
          <w:lang w:val="en-US" w:eastAsia="zh-CN"/>
        </w:rPr>
      </w:pPr>
    </w:p>
    <w:p w14:paraId="0C1D7455">
      <w:pPr>
        <w:pStyle w:val="56"/>
        <w:ind w:left="0" w:leftChars="0" w:firstLine="0" w:firstLineChars="0"/>
        <w:rPr>
          <w:rFonts w:hint="eastAsia"/>
          <w:lang w:val="en-US" w:eastAsia="zh-CN"/>
        </w:rPr>
      </w:pPr>
      <w:r>
        <w:rPr>
          <w:rFonts w:hint="eastAsia" w:ascii="黑体" w:hAnsi="黑体" w:eastAsia="黑体" w:cs="黑体"/>
          <w:sz w:val="21"/>
          <w:szCs w:val="21"/>
          <w:lang w:val="en-US" w:eastAsia="zh-CN"/>
        </w:rPr>
        <w:t xml:space="preserve">B.2.2  </w:t>
      </w:r>
      <w:r>
        <w:rPr>
          <w:rFonts w:hint="eastAsia"/>
          <w:lang w:val="en-US" w:eastAsia="zh-CN"/>
        </w:rPr>
        <w:t xml:space="preserve"> 皮肤致敏AOP示意图如图B.1所示：</w:t>
      </w:r>
    </w:p>
    <w:p w14:paraId="24B09BC3">
      <w:pPr>
        <w:pStyle w:val="56"/>
        <w:ind w:left="0" w:leftChars="0" w:firstLine="0" w:firstLineChars="0"/>
        <w:jc w:val="center"/>
        <w:rPr>
          <w:rFonts w:hint="eastAsia" w:ascii="黑体" w:hAnsi="黑体" w:eastAsia="黑体" w:cs="黑体"/>
          <w:b w:val="0"/>
          <w:bCs w:val="0"/>
          <w:i w:val="0"/>
          <w:iCs w:val="0"/>
          <w:caps w:val="0"/>
          <w:color w:val="333333"/>
          <w:spacing w:val="0"/>
          <w:sz w:val="18"/>
          <w:szCs w:val="18"/>
          <w:highlight w:val="none"/>
          <w:shd w:val="clear" w:fill="FFFFFF"/>
          <w:lang w:val="en-US" w:eastAsia="zh-CN"/>
        </w:rPr>
      </w:pPr>
      <w:r>
        <w:rPr>
          <w:rFonts w:hint="eastAsia" w:ascii="黑体" w:hAnsi="黑体" w:eastAsia="黑体" w:cs="黑体"/>
          <w:b w:val="0"/>
          <w:bCs w:val="0"/>
          <w:color w:val="auto"/>
          <w:sz w:val="21"/>
          <w:szCs w:val="21"/>
          <w:highlight w:val="none"/>
        </w:rPr>
        <w:t>图</w:t>
      </w:r>
      <w:r>
        <w:rPr>
          <w:rFonts w:hint="eastAsia" w:ascii="黑体" w:hAnsi="黑体" w:eastAsia="黑体" w:cs="黑体"/>
          <w:b w:val="0"/>
          <w:bCs w:val="0"/>
          <w:color w:val="auto"/>
          <w:sz w:val="21"/>
          <w:szCs w:val="21"/>
          <w:highlight w:val="none"/>
          <w:lang w:val="en-US" w:eastAsia="zh-CN"/>
        </w:rPr>
        <w:t>B.</w:t>
      </w:r>
      <w:r>
        <w:rPr>
          <w:rFonts w:hint="eastAsia" w:ascii="黑体" w:hAnsi="黑体" w:eastAsia="黑体" w:cs="黑体"/>
          <w:b w:val="0"/>
          <w:bCs w:val="0"/>
          <w:color w:val="auto"/>
          <w:sz w:val="21"/>
          <w:szCs w:val="21"/>
          <w:highlight w:val="none"/>
        </w:rPr>
        <w:t>1 皮肤致敏AOP示意图</w:t>
      </w:r>
    </w:p>
    <w:p w14:paraId="3CE3A055">
      <w:pPr>
        <w:spacing w:line="240" w:lineRule="auto"/>
        <w:ind w:firstLine="420" w:firstLineChars="0"/>
        <w:rPr>
          <w:rFonts w:hint="eastAsia" w:ascii="宋体" w:hAnsi="宋体" w:cs="宋体"/>
          <w:i w:val="0"/>
          <w:iCs w:val="0"/>
          <w:caps w:val="0"/>
          <w:color w:val="333333"/>
          <w:spacing w:val="0"/>
          <w:sz w:val="18"/>
          <w:szCs w:val="18"/>
          <w:highlight w:val="none"/>
          <w:shd w:val="clear" w:fill="FFFFFF"/>
          <w:lang w:val="en-US" w:eastAsia="zh-CN"/>
        </w:rPr>
      </w:pPr>
      <w:r>
        <w:rPr>
          <w:rFonts w:hint="eastAsia" w:ascii="宋体" w:hAnsi="宋体" w:cs="宋体"/>
          <w:i w:val="0"/>
          <w:iCs w:val="0"/>
          <w:caps w:val="0"/>
          <w:color w:val="333333"/>
          <w:spacing w:val="0"/>
          <w:sz w:val="18"/>
          <w:szCs w:val="18"/>
          <w:highlight w:val="none"/>
          <w:shd w:val="clear" w:fill="FFFFFF"/>
          <w:lang w:val="en-US" w:eastAsia="zh-CN"/>
        </w:rPr>
        <w:drawing>
          <wp:inline distT="0" distB="0" distL="114300" distR="114300">
            <wp:extent cx="5647055" cy="1140460"/>
            <wp:effectExtent l="0" t="0" r="4445" b="2540"/>
            <wp:docPr id="9" name="图片 9" descr="微信图片_20260116183938_139_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260116183938_139_195"/>
                    <pic:cNvPicPr>
                      <a:picLocks noChangeAspect="1"/>
                    </pic:cNvPicPr>
                  </pic:nvPicPr>
                  <pic:blipFill>
                    <a:blip r:embed="rId17"/>
                    <a:stretch>
                      <a:fillRect/>
                    </a:stretch>
                  </pic:blipFill>
                  <pic:spPr>
                    <a:xfrm>
                      <a:off x="0" y="0"/>
                      <a:ext cx="5647055" cy="1140460"/>
                    </a:xfrm>
                    <a:prstGeom prst="rect">
                      <a:avLst/>
                    </a:prstGeom>
                  </pic:spPr>
                </pic:pic>
              </a:graphicData>
            </a:graphic>
          </wp:inline>
        </w:drawing>
      </w:r>
    </w:p>
    <w:p w14:paraId="23CAED28">
      <w:pPr>
        <w:ind w:firstLine="420" w:firstLineChars="0"/>
        <w:rPr>
          <w:rFonts w:hint="eastAsia" w:ascii="宋体" w:hAnsi="宋体" w:cs="宋体"/>
          <w:i w:val="0"/>
          <w:iCs w:val="0"/>
          <w:caps w:val="0"/>
          <w:color w:val="333333"/>
          <w:spacing w:val="0"/>
          <w:sz w:val="18"/>
          <w:szCs w:val="18"/>
          <w:shd w:val="clear" w:fill="FFFFFF"/>
          <w:lang w:val="en-US" w:eastAsia="zh-CN"/>
        </w:rPr>
      </w:pPr>
    </w:p>
    <w:p w14:paraId="2849F69A">
      <w:pPr>
        <w:ind w:firstLine="420" w:firstLineChars="0"/>
        <w:rPr>
          <w:rFonts w:hint="eastAsia" w:ascii="宋体" w:hAnsi="宋体" w:cs="宋体"/>
          <w:i w:val="0"/>
          <w:iCs w:val="0"/>
          <w:caps w:val="0"/>
          <w:color w:val="333333"/>
          <w:spacing w:val="0"/>
          <w:sz w:val="18"/>
          <w:szCs w:val="18"/>
          <w:shd w:val="clear" w:fill="FFFFFF"/>
          <w:lang w:val="en-US" w:eastAsia="zh-CN"/>
        </w:rPr>
      </w:pPr>
    </w:p>
    <w:p w14:paraId="7CF9ABD8">
      <w:pPr>
        <w:ind w:firstLine="420" w:firstLineChars="0"/>
        <w:rPr>
          <w:rFonts w:hint="eastAsia" w:ascii="宋体" w:hAnsi="宋体" w:cs="宋体"/>
          <w:i w:val="0"/>
          <w:iCs w:val="0"/>
          <w:caps w:val="0"/>
          <w:color w:val="333333"/>
          <w:spacing w:val="0"/>
          <w:sz w:val="18"/>
          <w:szCs w:val="18"/>
          <w:shd w:val="clear" w:fill="FFFFFF"/>
          <w:lang w:val="en-US" w:eastAsia="zh-CN"/>
        </w:rPr>
      </w:pPr>
    </w:p>
    <w:p w14:paraId="00C17EBE">
      <w:pPr>
        <w:ind w:firstLine="420" w:firstLineChars="0"/>
        <w:rPr>
          <w:rFonts w:hint="eastAsia" w:ascii="宋体" w:hAnsi="宋体" w:cs="宋体"/>
          <w:i w:val="0"/>
          <w:iCs w:val="0"/>
          <w:caps w:val="0"/>
          <w:color w:val="333333"/>
          <w:spacing w:val="0"/>
          <w:sz w:val="18"/>
          <w:szCs w:val="18"/>
          <w:shd w:val="clear" w:fill="FFFFFF"/>
          <w:lang w:val="en-US" w:eastAsia="zh-CN"/>
        </w:rPr>
      </w:pPr>
    </w:p>
    <w:p w14:paraId="3CB0E9CC">
      <w:pPr>
        <w:ind w:firstLine="420" w:firstLineChars="0"/>
        <w:rPr>
          <w:rFonts w:hint="eastAsia" w:ascii="宋体" w:hAnsi="宋体" w:cs="宋体"/>
          <w:i w:val="0"/>
          <w:iCs w:val="0"/>
          <w:caps w:val="0"/>
          <w:color w:val="333333"/>
          <w:spacing w:val="0"/>
          <w:sz w:val="18"/>
          <w:szCs w:val="18"/>
          <w:shd w:val="clear" w:fill="FFFFFF"/>
          <w:lang w:val="en-US" w:eastAsia="zh-CN"/>
        </w:rPr>
      </w:pPr>
    </w:p>
    <w:p w14:paraId="5742334C">
      <w:pPr>
        <w:ind w:firstLine="420" w:firstLineChars="0"/>
        <w:rPr>
          <w:rFonts w:hint="eastAsia" w:ascii="宋体" w:hAnsi="宋体" w:cs="宋体"/>
          <w:i w:val="0"/>
          <w:iCs w:val="0"/>
          <w:caps w:val="0"/>
          <w:color w:val="333333"/>
          <w:spacing w:val="0"/>
          <w:sz w:val="18"/>
          <w:szCs w:val="18"/>
          <w:shd w:val="clear" w:fill="FFFFFF"/>
          <w:lang w:val="en-US" w:eastAsia="zh-CN"/>
        </w:rPr>
      </w:pPr>
    </w:p>
    <w:p w14:paraId="091983F9">
      <w:pPr>
        <w:ind w:firstLine="420" w:firstLineChars="0"/>
        <w:rPr>
          <w:rFonts w:hint="eastAsia" w:ascii="宋体" w:hAnsi="宋体" w:cs="宋体"/>
          <w:i w:val="0"/>
          <w:iCs w:val="0"/>
          <w:caps w:val="0"/>
          <w:color w:val="333333"/>
          <w:spacing w:val="0"/>
          <w:sz w:val="18"/>
          <w:szCs w:val="18"/>
          <w:shd w:val="clear" w:fill="FFFFFF"/>
          <w:lang w:val="en-US" w:eastAsia="zh-CN"/>
        </w:rPr>
      </w:pPr>
    </w:p>
    <w:p w14:paraId="414722D7">
      <w:pPr>
        <w:ind w:firstLine="420" w:firstLineChars="0"/>
        <w:rPr>
          <w:rFonts w:hint="eastAsia" w:ascii="宋体" w:hAnsi="宋体" w:cs="宋体"/>
          <w:i w:val="0"/>
          <w:iCs w:val="0"/>
          <w:caps w:val="0"/>
          <w:color w:val="333333"/>
          <w:spacing w:val="0"/>
          <w:sz w:val="18"/>
          <w:szCs w:val="18"/>
          <w:shd w:val="clear" w:fill="FFFFFF"/>
          <w:lang w:val="en-US" w:eastAsia="zh-CN"/>
        </w:rPr>
      </w:pPr>
    </w:p>
    <w:p w14:paraId="4795272E">
      <w:pPr>
        <w:ind w:firstLine="420" w:firstLineChars="0"/>
        <w:rPr>
          <w:rFonts w:hint="eastAsia" w:ascii="宋体" w:hAnsi="宋体" w:cs="宋体"/>
          <w:i w:val="0"/>
          <w:iCs w:val="0"/>
          <w:caps w:val="0"/>
          <w:color w:val="333333"/>
          <w:spacing w:val="0"/>
          <w:sz w:val="18"/>
          <w:szCs w:val="18"/>
          <w:shd w:val="clear" w:fill="FFFFFF"/>
          <w:lang w:val="en-US" w:eastAsia="zh-CN"/>
        </w:rPr>
      </w:pPr>
    </w:p>
    <w:p w14:paraId="1DDB7A92">
      <w:pPr>
        <w:ind w:firstLine="420" w:firstLineChars="0"/>
        <w:rPr>
          <w:rFonts w:hint="eastAsia" w:ascii="宋体" w:hAnsi="宋体" w:cs="宋体"/>
          <w:i w:val="0"/>
          <w:iCs w:val="0"/>
          <w:caps w:val="0"/>
          <w:color w:val="333333"/>
          <w:spacing w:val="0"/>
          <w:sz w:val="18"/>
          <w:szCs w:val="18"/>
          <w:shd w:val="clear" w:fill="FFFFFF"/>
          <w:lang w:val="en-US" w:eastAsia="zh-CN"/>
        </w:rPr>
      </w:pPr>
    </w:p>
    <w:p w14:paraId="2DEB7A12">
      <w:pPr>
        <w:ind w:firstLine="420" w:firstLineChars="0"/>
        <w:rPr>
          <w:rFonts w:hint="eastAsia" w:ascii="宋体" w:hAnsi="宋体" w:cs="宋体"/>
          <w:i w:val="0"/>
          <w:iCs w:val="0"/>
          <w:caps w:val="0"/>
          <w:color w:val="333333"/>
          <w:spacing w:val="0"/>
          <w:sz w:val="18"/>
          <w:szCs w:val="18"/>
          <w:shd w:val="clear" w:fill="FFFFFF"/>
          <w:lang w:val="en-US" w:eastAsia="zh-CN"/>
        </w:rPr>
      </w:pPr>
    </w:p>
    <w:p w14:paraId="750099D5">
      <w:pPr>
        <w:rPr>
          <w:rFonts w:hint="eastAsia" w:ascii="宋体" w:hAnsi="宋体" w:eastAsia="宋体" w:cs="宋体"/>
          <w:i w:val="0"/>
          <w:iCs w:val="0"/>
          <w:caps w:val="0"/>
          <w:color w:val="333333"/>
          <w:spacing w:val="0"/>
          <w:sz w:val="18"/>
          <w:szCs w:val="18"/>
          <w:shd w:val="clear" w:fill="FFFFFF"/>
          <w:lang w:val="en-US" w:eastAsia="zh-CN"/>
        </w:rPr>
      </w:pPr>
      <w:r>
        <w:rPr>
          <w:rFonts w:hint="eastAsia" w:ascii="宋体" w:hAnsi="宋体" w:eastAsia="宋体" w:cs="宋体"/>
          <w:i w:val="0"/>
          <w:iCs w:val="0"/>
          <w:caps w:val="0"/>
          <w:color w:val="333333"/>
          <w:spacing w:val="0"/>
          <w:sz w:val="18"/>
          <w:szCs w:val="18"/>
          <w:shd w:val="clear" w:fill="FFFFFF"/>
          <w:lang w:val="en-US" w:eastAsia="zh-CN"/>
        </w:rPr>
        <w:br w:type="page"/>
      </w:r>
    </w:p>
    <w:p w14:paraId="235AF683">
      <w:pPr>
        <w:pStyle w:val="56"/>
        <w:ind w:left="0" w:leftChars="0" w:firstLine="0" w:firstLineChars="0"/>
        <w:rPr>
          <w:rFonts w:hint="eastAsia" w:ascii="宋体" w:hAnsi="宋体" w:eastAsia="宋体" w:cs="宋体"/>
          <w:i w:val="0"/>
          <w:iCs w:val="0"/>
          <w:caps w:val="0"/>
          <w:color w:val="333333"/>
          <w:spacing w:val="0"/>
          <w:sz w:val="18"/>
          <w:szCs w:val="18"/>
          <w:shd w:val="clear" w:fill="FFFFFF"/>
          <w:lang w:val="en-US" w:eastAsia="zh-CN"/>
        </w:rPr>
      </w:pPr>
    </w:p>
    <w:p w14:paraId="7D39C5AF">
      <w:pPr>
        <w:pStyle w:val="76"/>
        <w:spacing w:after="120"/>
        <w:rPr>
          <w:highlight w:val="none"/>
        </w:rPr>
      </w:pPr>
      <w:r>
        <w:rPr>
          <w:highlight w:val="none"/>
        </w:rPr>
        <w:br w:type="textWrapping"/>
      </w:r>
      <w:r>
        <w:rPr>
          <w:rFonts w:hint="eastAsia"/>
          <w:highlight w:val="none"/>
        </w:rPr>
        <w:t>（</w:t>
      </w:r>
      <w:r>
        <w:rPr>
          <w:rFonts w:hint="eastAsia"/>
          <w:highlight w:val="none"/>
          <w:lang w:eastAsia="zh-CN"/>
        </w:rPr>
        <w:t>资料性</w:t>
      </w:r>
      <w:r>
        <w:rPr>
          <w:rFonts w:hint="eastAsia"/>
          <w:highlight w:val="none"/>
        </w:rPr>
        <w:t>）</w:t>
      </w:r>
      <w:r>
        <w:rPr>
          <w:highlight w:val="none"/>
        </w:rPr>
        <w:br w:type="textWrapping"/>
      </w:r>
      <w:r>
        <w:rPr>
          <w:rFonts w:hint="eastAsia"/>
          <w:highlight w:val="none"/>
        </w:rPr>
        <w:t>终产品安全性测试</w:t>
      </w:r>
    </w:p>
    <w:p w14:paraId="1BCD5C48">
      <w:pPr>
        <w:pStyle w:val="105"/>
        <w:numPr>
          <w:ilvl w:val="2"/>
          <w:numId w:val="0"/>
        </w:numPr>
        <w:spacing w:before="120" w:after="120"/>
        <w:ind w:leftChars="0"/>
        <w:rPr>
          <w:rFonts w:hint="default"/>
          <w:lang w:val="en-US"/>
        </w:rPr>
      </w:pPr>
      <w:r>
        <w:rPr>
          <w:rFonts w:hint="eastAsia" w:hAnsi="黑体" w:cs="黑体"/>
          <w:sz w:val="21"/>
          <w:szCs w:val="21"/>
          <w:lang w:val="en-US" w:eastAsia="zh-CN"/>
        </w:rPr>
        <w:t>C.1  测试项目</w:t>
      </w:r>
    </w:p>
    <w:p w14:paraId="7127C789">
      <w:pPr>
        <w:pStyle w:val="174"/>
        <w:numPr>
          <w:ilvl w:val="0"/>
          <w:numId w:val="0"/>
        </w:numPr>
        <w:rPr>
          <w:rFonts w:hint="eastAsia"/>
          <w:lang w:val="en-US" w:eastAsia="zh-CN"/>
        </w:rPr>
      </w:pPr>
      <w:r>
        <w:rPr>
          <w:rFonts w:hint="eastAsia" w:ascii="黑体" w:hAnsi="黑体" w:eastAsia="黑体" w:cs="黑体"/>
          <w:lang w:val="en-US" w:eastAsia="zh-CN"/>
        </w:rPr>
        <w:t xml:space="preserve">C.1.1  </w:t>
      </w:r>
      <w:r>
        <w:rPr>
          <w:rFonts w:hint="eastAsia"/>
          <w:lang w:val="en-US" w:eastAsia="zh-CN"/>
        </w:rPr>
        <w:t>发用类、护肤类、彩妆类、指（趾）甲类和芳香类的终产品毒理学测试项目应符合表C.1的要求。</w:t>
      </w:r>
    </w:p>
    <w:p w14:paraId="5ABAD744">
      <w:pPr>
        <w:pStyle w:val="112"/>
        <w:numPr>
          <w:ilvl w:val="0"/>
          <w:numId w:val="0"/>
        </w:numPr>
        <w:spacing w:before="120" w:after="120"/>
        <w:ind w:leftChars="0"/>
        <w:jc w:val="center"/>
      </w:pPr>
      <w:r>
        <w:rPr>
          <w:rFonts w:hint="eastAsia"/>
          <w:lang w:eastAsia="zh-CN"/>
        </w:rPr>
        <w:t>表</w:t>
      </w:r>
      <w:r>
        <w:rPr>
          <w:rFonts w:hint="eastAsia"/>
          <w:lang w:val="en-US" w:eastAsia="zh-CN"/>
        </w:rPr>
        <w:t xml:space="preserve">C.1  </w:t>
      </w:r>
      <w:r>
        <w:rPr>
          <w:rFonts w:hint="eastAsia"/>
        </w:rPr>
        <w:t>测试项目</w:t>
      </w:r>
    </w:p>
    <w:tbl>
      <w:tblPr>
        <w:tblStyle w:val="27"/>
        <w:tblW w:w="9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54"/>
        <w:gridCol w:w="1062"/>
        <w:gridCol w:w="1062"/>
        <w:gridCol w:w="1062"/>
        <w:gridCol w:w="1062"/>
        <w:gridCol w:w="1062"/>
        <w:gridCol w:w="1062"/>
        <w:gridCol w:w="1062"/>
        <w:gridCol w:w="1062"/>
      </w:tblGrid>
      <w:tr w14:paraId="1E3A85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blHeader/>
          <w:jc w:val="center"/>
        </w:trPr>
        <w:tc>
          <w:tcPr>
            <w:tcW w:w="854" w:type="dxa"/>
            <w:vMerge w:val="restart"/>
            <w:tcBorders>
              <w:top w:val="single" w:color="auto" w:sz="8" w:space="0"/>
            </w:tcBorders>
            <w:vAlign w:val="center"/>
          </w:tcPr>
          <w:p w14:paraId="240A03EF">
            <w:pPr>
              <w:pStyle w:val="178"/>
            </w:pPr>
            <w:r>
              <w:rPr>
                <w:rFonts w:hint="eastAsia"/>
              </w:rPr>
              <w:t>试验项目</w:t>
            </w:r>
          </w:p>
        </w:tc>
        <w:tc>
          <w:tcPr>
            <w:tcW w:w="1062" w:type="dxa"/>
            <w:tcBorders>
              <w:top w:val="single" w:color="auto" w:sz="8" w:space="0"/>
              <w:bottom w:val="single" w:color="auto" w:sz="8" w:space="0"/>
            </w:tcBorders>
            <w:vAlign w:val="center"/>
          </w:tcPr>
          <w:p w14:paraId="5DE5C954">
            <w:pPr>
              <w:pStyle w:val="178"/>
            </w:pPr>
            <w:r>
              <w:rPr>
                <w:rFonts w:hint="eastAsia"/>
              </w:rPr>
              <w:t>发用类</w:t>
            </w:r>
          </w:p>
        </w:tc>
        <w:tc>
          <w:tcPr>
            <w:tcW w:w="2124" w:type="dxa"/>
            <w:gridSpan w:val="2"/>
            <w:tcBorders>
              <w:top w:val="single" w:color="auto" w:sz="8" w:space="0"/>
              <w:bottom w:val="single" w:color="auto" w:sz="8" w:space="0"/>
            </w:tcBorders>
            <w:vAlign w:val="center"/>
          </w:tcPr>
          <w:p w14:paraId="177E37C4">
            <w:pPr>
              <w:pStyle w:val="178"/>
            </w:pPr>
            <w:r>
              <w:rPr>
                <w:rFonts w:hint="eastAsia"/>
              </w:rPr>
              <w:t>护肤类</w:t>
            </w:r>
          </w:p>
        </w:tc>
        <w:tc>
          <w:tcPr>
            <w:tcW w:w="3186" w:type="dxa"/>
            <w:gridSpan w:val="3"/>
            <w:tcBorders>
              <w:top w:val="single" w:color="auto" w:sz="8" w:space="0"/>
              <w:bottom w:val="single" w:color="auto" w:sz="8" w:space="0"/>
            </w:tcBorders>
            <w:vAlign w:val="center"/>
          </w:tcPr>
          <w:p w14:paraId="38369AD9">
            <w:pPr>
              <w:pStyle w:val="178"/>
              <w:rPr>
                <w:rFonts w:hint="eastAsia"/>
              </w:rPr>
            </w:pPr>
            <w:r>
              <w:rPr>
                <w:rFonts w:hint="eastAsia"/>
              </w:rPr>
              <w:t>彩妆类</w:t>
            </w:r>
          </w:p>
        </w:tc>
        <w:tc>
          <w:tcPr>
            <w:tcW w:w="1062" w:type="dxa"/>
            <w:vMerge w:val="restart"/>
            <w:tcBorders>
              <w:top w:val="single" w:color="auto" w:sz="8" w:space="0"/>
            </w:tcBorders>
            <w:vAlign w:val="center"/>
          </w:tcPr>
          <w:p w14:paraId="381E6E2D">
            <w:pPr>
              <w:pStyle w:val="178"/>
              <w:rPr>
                <w:rFonts w:hint="eastAsia"/>
              </w:rPr>
            </w:pPr>
          </w:p>
          <w:p w14:paraId="46572509">
            <w:pPr>
              <w:pStyle w:val="178"/>
              <w:rPr>
                <w:rFonts w:hint="eastAsia"/>
              </w:rPr>
            </w:pPr>
            <w:r>
              <w:rPr>
                <w:rFonts w:hint="eastAsia"/>
              </w:rPr>
              <w:t>指（趾）甲类</w:t>
            </w:r>
          </w:p>
        </w:tc>
        <w:tc>
          <w:tcPr>
            <w:tcW w:w="1062" w:type="dxa"/>
            <w:vMerge w:val="restart"/>
            <w:tcBorders>
              <w:top w:val="single" w:color="auto" w:sz="8" w:space="0"/>
            </w:tcBorders>
            <w:vAlign w:val="center"/>
          </w:tcPr>
          <w:p w14:paraId="371E275A">
            <w:pPr>
              <w:pStyle w:val="178"/>
              <w:rPr>
                <w:rFonts w:hint="eastAsia"/>
              </w:rPr>
            </w:pPr>
          </w:p>
          <w:p w14:paraId="449AC75C">
            <w:pPr>
              <w:pStyle w:val="178"/>
              <w:rPr>
                <w:rFonts w:hint="eastAsia"/>
              </w:rPr>
            </w:pPr>
            <w:r>
              <w:rPr>
                <w:rFonts w:hint="eastAsia"/>
              </w:rPr>
              <w:t>芳香类</w:t>
            </w:r>
          </w:p>
        </w:tc>
      </w:tr>
      <w:tr w14:paraId="176D2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54" w:type="dxa"/>
            <w:vMerge w:val="continue"/>
            <w:vAlign w:val="center"/>
          </w:tcPr>
          <w:p w14:paraId="5701289A">
            <w:pPr>
              <w:pStyle w:val="178"/>
            </w:pPr>
          </w:p>
        </w:tc>
        <w:tc>
          <w:tcPr>
            <w:tcW w:w="1062" w:type="dxa"/>
            <w:tcBorders>
              <w:top w:val="single" w:color="auto" w:sz="8" w:space="0"/>
            </w:tcBorders>
            <w:vAlign w:val="center"/>
          </w:tcPr>
          <w:p w14:paraId="2D72DACF">
            <w:pPr>
              <w:pStyle w:val="178"/>
            </w:pPr>
            <w:r>
              <w:rPr>
                <w:rFonts w:hint="eastAsia"/>
              </w:rPr>
              <w:t>易触及眼睛的发用产品</w:t>
            </w:r>
          </w:p>
        </w:tc>
        <w:tc>
          <w:tcPr>
            <w:tcW w:w="1062" w:type="dxa"/>
            <w:tcBorders>
              <w:top w:val="single" w:color="auto" w:sz="8" w:space="0"/>
            </w:tcBorders>
            <w:vAlign w:val="center"/>
          </w:tcPr>
          <w:p w14:paraId="6B1F2781">
            <w:pPr>
              <w:pStyle w:val="178"/>
            </w:pPr>
            <w:r>
              <w:rPr>
                <w:rFonts w:hint="eastAsia"/>
              </w:rPr>
              <w:t>一般护肤产品</w:t>
            </w:r>
          </w:p>
        </w:tc>
        <w:tc>
          <w:tcPr>
            <w:tcW w:w="1062" w:type="dxa"/>
            <w:tcBorders>
              <w:top w:val="single" w:color="auto" w:sz="8" w:space="0"/>
            </w:tcBorders>
            <w:vAlign w:val="center"/>
          </w:tcPr>
          <w:p w14:paraId="7CDD5981">
            <w:pPr>
              <w:pStyle w:val="178"/>
            </w:pPr>
            <w:r>
              <w:rPr>
                <w:rFonts w:hint="eastAsia"/>
              </w:rPr>
              <w:t>易触及眼睛的护肤产品</w:t>
            </w:r>
          </w:p>
        </w:tc>
        <w:tc>
          <w:tcPr>
            <w:tcW w:w="1062" w:type="dxa"/>
            <w:tcBorders>
              <w:top w:val="single" w:color="auto" w:sz="8" w:space="0"/>
            </w:tcBorders>
            <w:vAlign w:val="center"/>
          </w:tcPr>
          <w:p w14:paraId="12B79733">
            <w:pPr>
              <w:pStyle w:val="178"/>
              <w:rPr>
                <w:rFonts w:hint="eastAsia"/>
              </w:rPr>
            </w:pPr>
            <w:r>
              <w:rPr>
                <w:rFonts w:hint="eastAsia"/>
              </w:rPr>
              <w:t>一般彩妆品</w:t>
            </w:r>
          </w:p>
        </w:tc>
        <w:tc>
          <w:tcPr>
            <w:tcW w:w="1062" w:type="dxa"/>
            <w:tcBorders>
              <w:top w:val="single" w:color="auto" w:sz="8" w:space="0"/>
            </w:tcBorders>
            <w:vAlign w:val="center"/>
          </w:tcPr>
          <w:p w14:paraId="4131AE5C">
            <w:pPr>
              <w:pStyle w:val="178"/>
              <w:rPr>
                <w:rFonts w:hint="eastAsia"/>
              </w:rPr>
            </w:pPr>
            <w:r>
              <w:rPr>
                <w:rFonts w:hint="eastAsia"/>
              </w:rPr>
              <w:t>眼部彩妆品</w:t>
            </w:r>
          </w:p>
        </w:tc>
        <w:tc>
          <w:tcPr>
            <w:tcW w:w="1062" w:type="dxa"/>
            <w:tcBorders>
              <w:top w:val="single" w:color="auto" w:sz="8" w:space="0"/>
            </w:tcBorders>
            <w:vAlign w:val="center"/>
          </w:tcPr>
          <w:p w14:paraId="1E944543">
            <w:pPr>
              <w:pStyle w:val="178"/>
              <w:rPr>
                <w:rFonts w:hint="eastAsia"/>
              </w:rPr>
            </w:pPr>
            <w:r>
              <w:rPr>
                <w:rFonts w:hint="eastAsia"/>
              </w:rPr>
              <w:t>护唇及唇部彩妆品</w:t>
            </w:r>
          </w:p>
        </w:tc>
        <w:tc>
          <w:tcPr>
            <w:tcW w:w="1062" w:type="dxa"/>
            <w:vMerge w:val="continue"/>
            <w:vAlign w:val="center"/>
          </w:tcPr>
          <w:p w14:paraId="7F1210C7">
            <w:pPr>
              <w:pStyle w:val="178"/>
              <w:rPr>
                <w:rFonts w:hint="eastAsia"/>
              </w:rPr>
            </w:pPr>
          </w:p>
        </w:tc>
        <w:tc>
          <w:tcPr>
            <w:tcW w:w="1062" w:type="dxa"/>
            <w:vMerge w:val="continue"/>
            <w:vAlign w:val="center"/>
          </w:tcPr>
          <w:p w14:paraId="45051C7F">
            <w:pPr>
              <w:pStyle w:val="178"/>
              <w:rPr>
                <w:rFonts w:hint="eastAsia"/>
              </w:rPr>
            </w:pPr>
          </w:p>
        </w:tc>
      </w:tr>
      <w:tr w14:paraId="73DCE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54" w:type="dxa"/>
            <w:vAlign w:val="center"/>
          </w:tcPr>
          <w:p w14:paraId="4EB79B51">
            <w:pPr>
              <w:pStyle w:val="178"/>
            </w:pPr>
            <w:r>
              <w:rPr>
                <w:rFonts w:hint="eastAsia"/>
              </w:rPr>
              <w:t>急性皮肤刺激性试验</w:t>
            </w:r>
          </w:p>
        </w:tc>
        <w:tc>
          <w:tcPr>
            <w:tcW w:w="1062" w:type="dxa"/>
            <w:vAlign w:val="center"/>
          </w:tcPr>
          <w:p w14:paraId="5D73FA40">
            <w:pPr>
              <w:pStyle w:val="178"/>
            </w:pPr>
            <w:r>
              <w:rPr>
                <w:rFonts w:hint="eastAsia" w:ascii="宋体" w:hAnsi="宋体" w:eastAsia="宋体" w:cs="宋体"/>
                <w:kern w:val="0"/>
                <w:sz w:val="21"/>
                <w:szCs w:val="21"/>
              </w:rPr>
              <w:t>○</w:t>
            </w:r>
          </w:p>
        </w:tc>
        <w:tc>
          <w:tcPr>
            <w:tcW w:w="1062" w:type="dxa"/>
            <w:vAlign w:val="center"/>
          </w:tcPr>
          <w:p w14:paraId="28CCC13B">
            <w:pPr>
              <w:pStyle w:val="178"/>
            </w:pPr>
          </w:p>
        </w:tc>
        <w:tc>
          <w:tcPr>
            <w:tcW w:w="1062" w:type="dxa"/>
            <w:vAlign w:val="center"/>
          </w:tcPr>
          <w:p w14:paraId="007E684D">
            <w:pPr>
              <w:pStyle w:val="178"/>
            </w:pPr>
          </w:p>
        </w:tc>
        <w:tc>
          <w:tcPr>
            <w:tcW w:w="1062" w:type="dxa"/>
            <w:vAlign w:val="center"/>
          </w:tcPr>
          <w:p w14:paraId="6E2ABBC4">
            <w:pPr>
              <w:pStyle w:val="178"/>
              <w:rPr>
                <w:rFonts w:hint="eastAsia"/>
              </w:rPr>
            </w:pPr>
          </w:p>
        </w:tc>
        <w:tc>
          <w:tcPr>
            <w:tcW w:w="1062" w:type="dxa"/>
            <w:vAlign w:val="center"/>
          </w:tcPr>
          <w:p w14:paraId="59FC2EA2">
            <w:pPr>
              <w:pStyle w:val="178"/>
              <w:rPr>
                <w:rFonts w:hint="eastAsia"/>
              </w:rPr>
            </w:pPr>
          </w:p>
        </w:tc>
        <w:tc>
          <w:tcPr>
            <w:tcW w:w="1062" w:type="dxa"/>
            <w:vAlign w:val="center"/>
          </w:tcPr>
          <w:p w14:paraId="7E3193C9">
            <w:pPr>
              <w:pStyle w:val="178"/>
              <w:rPr>
                <w:rFonts w:hint="eastAsia"/>
              </w:rPr>
            </w:pPr>
          </w:p>
        </w:tc>
        <w:tc>
          <w:tcPr>
            <w:tcW w:w="1062" w:type="dxa"/>
            <w:vAlign w:val="center"/>
          </w:tcPr>
          <w:p w14:paraId="1F73AA2E">
            <w:pPr>
              <w:pStyle w:val="178"/>
              <w:rPr>
                <w:rFonts w:hint="eastAsia"/>
              </w:rPr>
            </w:pPr>
            <w:r>
              <w:rPr>
                <w:rFonts w:hint="eastAsia" w:ascii="宋体" w:hAnsi="宋体" w:eastAsia="宋体" w:cs="宋体"/>
                <w:kern w:val="0"/>
                <w:sz w:val="21"/>
                <w:szCs w:val="21"/>
              </w:rPr>
              <w:t>○</w:t>
            </w:r>
          </w:p>
        </w:tc>
        <w:tc>
          <w:tcPr>
            <w:tcW w:w="1062" w:type="dxa"/>
            <w:vAlign w:val="center"/>
          </w:tcPr>
          <w:p w14:paraId="1AFE174E">
            <w:pPr>
              <w:pStyle w:val="178"/>
              <w:rPr>
                <w:rFonts w:hint="eastAsia"/>
              </w:rPr>
            </w:pPr>
            <w:r>
              <w:rPr>
                <w:rFonts w:hint="eastAsia" w:ascii="宋体" w:hAnsi="宋体" w:eastAsia="宋体" w:cs="宋体"/>
                <w:kern w:val="0"/>
                <w:sz w:val="21"/>
                <w:szCs w:val="21"/>
              </w:rPr>
              <w:t>○</w:t>
            </w:r>
          </w:p>
        </w:tc>
      </w:tr>
      <w:tr w14:paraId="567D7B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54" w:type="dxa"/>
            <w:vAlign w:val="center"/>
          </w:tcPr>
          <w:p w14:paraId="5C5E2756">
            <w:pPr>
              <w:pStyle w:val="178"/>
              <w:rPr>
                <w:rFonts w:hint="eastAsia"/>
              </w:rPr>
            </w:pPr>
            <w:r>
              <w:rPr>
                <w:rFonts w:hint="eastAsia"/>
              </w:rPr>
              <w:t>急性眼刺激性试验</w:t>
            </w:r>
          </w:p>
        </w:tc>
        <w:tc>
          <w:tcPr>
            <w:tcW w:w="1062" w:type="dxa"/>
            <w:vAlign w:val="center"/>
          </w:tcPr>
          <w:p w14:paraId="3B96C39A">
            <w:pPr>
              <w:pStyle w:val="178"/>
              <w:rPr>
                <w:rFonts w:hint="eastAsia"/>
              </w:rPr>
            </w:pPr>
            <w:r>
              <w:rPr>
                <w:rFonts w:hint="eastAsia" w:ascii="宋体" w:hAnsi="宋体" w:eastAsia="宋体" w:cs="宋体"/>
                <w:kern w:val="0"/>
                <w:sz w:val="21"/>
                <w:szCs w:val="21"/>
              </w:rPr>
              <w:t>○</w:t>
            </w:r>
          </w:p>
        </w:tc>
        <w:tc>
          <w:tcPr>
            <w:tcW w:w="1062" w:type="dxa"/>
            <w:vAlign w:val="center"/>
          </w:tcPr>
          <w:p w14:paraId="08E28E09">
            <w:pPr>
              <w:pStyle w:val="178"/>
              <w:rPr>
                <w:rFonts w:hint="eastAsia"/>
              </w:rPr>
            </w:pPr>
          </w:p>
        </w:tc>
        <w:tc>
          <w:tcPr>
            <w:tcW w:w="1062" w:type="dxa"/>
            <w:vAlign w:val="center"/>
          </w:tcPr>
          <w:p w14:paraId="5126EEE2">
            <w:pPr>
              <w:pStyle w:val="178"/>
              <w:rPr>
                <w:rFonts w:hint="eastAsia"/>
              </w:rPr>
            </w:pPr>
            <w:r>
              <w:rPr>
                <w:rFonts w:hint="eastAsia" w:ascii="宋体" w:hAnsi="宋体" w:eastAsia="宋体" w:cs="宋体"/>
                <w:kern w:val="0"/>
                <w:sz w:val="21"/>
                <w:szCs w:val="21"/>
              </w:rPr>
              <w:t>○</w:t>
            </w:r>
          </w:p>
        </w:tc>
        <w:tc>
          <w:tcPr>
            <w:tcW w:w="1062" w:type="dxa"/>
            <w:vAlign w:val="center"/>
          </w:tcPr>
          <w:p w14:paraId="6659F52A">
            <w:pPr>
              <w:pStyle w:val="178"/>
              <w:rPr>
                <w:rFonts w:hint="eastAsia"/>
              </w:rPr>
            </w:pPr>
          </w:p>
        </w:tc>
        <w:tc>
          <w:tcPr>
            <w:tcW w:w="1062" w:type="dxa"/>
            <w:vAlign w:val="center"/>
          </w:tcPr>
          <w:p w14:paraId="7AEB3CC1">
            <w:pPr>
              <w:pStyle w:val="178"/>
              <w:rPr>
                <w:rFonts w:hint="eastAsia"/>
              </w:rPr>
            </w:pPr>
            <w:r>
              <w:rPr>
                <w:rFonts w:hint="eastAsia" w:ascii="宋体" w:hAnsi="宋体" w:eastAsia="宋体" w:cs="宋体"/>
                <w:kern w:val="0"/>
                <w:sz w:val="21"/>
                <w:szCs w:val="21"/>
              </w:rPr>
              <w:t>○</w:t>
            </w:r>
          </w:p>
        </w:tc>
        <w:tc>
          <w:tcPr>
            <w:tcW w:w="1062" w:type="dxa"/>
            <w:vAlign w:val="center"/>
          </w:tcPr>
          <w:p w14:paraId="66FC1184">
            <w:pPr>
              <w:pStyle w:val="178"/>
              <w:rPr>
                <w:rFonts w:hint="eastAsia"/>
              </w:rPr>
            </w:pPr>
          </w:p>
        </w:tc>
        <w:tc>
          <w:tcPr>
            <w:tcW w:w="1062" w:type="dxa"/>
            <w:vAlign w:val="center"/>
          </w:tcPr>
          <w:p w14:paraId="1536F138">
            <w:pPr>
              <w:pStyle w:val="178"/>
              <w:rPr>
                <w:rFonts w:hint="eastAsia"/>
              </w:rPr>
            </w:pPr>
          </w:p>
        </w:tc>
        <w:tc>
          <w:tcPr>
            <w:tcW w:w="1062" w:type="dxa"/>
            <w:vAlign w:val="center"/>
          </w:tcPr>
          <w:p w14:paraId="2250D3EB">
            <w:pPr>
              <w:pStyle w:val="178"/>
              <w:rPr>
                <w:rFonts w:hint="eastAsia"/>
              </w:rPr>
            </w:pPr>
          </w:p>
        </w:tc>
      </w:tr>
      <w:tr w14:paraId="2CBE29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54" w:type="dxa"/>
            <w:vAlign w:val="center"/>
          </w:tcPr>
          <w:p w14:paraId="2205F9DD">
            <w:pPr>
              <w:pStyle w:val="178"/>
              <w:rPr>
                <w:rFonts w:hint="eastAsia"/>
              </w:rPr>
            </w:pPr>
            <w:r>
              <w:rPr>
                <w:rFonts w:hint="eastAsia"/>
              </w:rPr>
              <w:t>多次皮肤刺激性试验</w:t>
            </w:r>
          </w:p>
        </w:tc>
        <w:tc>
          <w:tcPr>
            <w:tcW w:w="1062" w:type="dxa"/>
            <w:vAlign w:val="center"/>
          </w:tcPr>
          <w:p w14:paraId="2DF60E43">
            <w:pPr>
              <w:pStyle w:val="178"/>
              <w:rPr>
                <w:rFonts w:hint="eastAsia"/>
              </w:rPr>
            </w:pPr>
          </w:p>
        </w:tc>
        <w:tc>
          <w:tcPr>
            <w:tcW w:w="1062" w:type="dxa"/>
            <w:vAlign w:val="center"/>
          </w:tcPr>
          <w:p w14:paraId="743A9C3A">
            <w:pPr>
              <w:pStyle w:val="178"/>
              <w:rPr>
                <w:rFonts w:hint="eastAsia"/>
              </w:rPr>
            </w:pPr>
            <w:r>
              <w:rPr>
                <w:rFonts w:hint="eastAsia" w:ascii="宋体" w:hAnsi="宋体" w:eastAsia="宋体" w:cs="宋体"/>
                <w:kern w:val="0"/>
                <w:sz w:val="21"/>
                <w:szCs w:val="21"/>
              </w:rPr>
              <w:t>○</w:t>
            </w:r>
          </w:p>
        </w:tc>
        <w:tc>
          <w:tcPr>
            <w:tcW w:w="1062" w:type="dxa"/>
            <w:vAlign w:val="center"/>
          </w:tcPr>
          <w:p w14:paraId="09819968">
            <w:pPr>
              <w:pStyle w:val="178"/>
              <w:rPr>
                <w:rFonts w:hint="eastAsia"/>
              </w:rPr>
            </w:pPr>
            <w:r>
              <w:rPr>
                <w:rFonts w:hint="eastAsia" w:ascii="宋体" w:hAnsi="宋体" w:eastAsia="宋体" w:cs="宋体"/>
                <w:kern w:val="0"/>
                <w:sz w:val="21"/>
                <w:szCs w:val="21"/>
              </w:rPr>
              <w:t>○</w:t>
            </w:r>
          </w:p>
        </w:tc>
        <w:tc>
          <w:tcPr>
            <w:tcW w:w="1062" w:type="dxa"/>
            <w:vAlign w:val="center"/>
          </w:tcPr>
          <w:p w14:paraId="36BD4113">
            <w:pPr>
              <w:pStyle w:val="178"/>
              <w:rPr>
                <w:rFonts w:hint="eastAsia"/>
              </w:rPr>
            </w:pPr>
            <w:r>
              <w:rPr>
                <w:rFonts w:hint="eastAsia" w:ascii="宋体" w:hAnsi="宋体" w:eastAsia="宋体" w:cs="宋体"/>
                <w:kern w:val="0"/>
                <w:sz w:val="21"/>
                <w:szCs w:val="21"/>
              </w:rPr>
              <w:t>○</w:t>
            </w:r>
          </w:p>
        </w:tc>
        <w:tc>
          <w:tcPr>
            <w:tcW w:w="1062" w:type="dxa"/>
            <w:vAlign w:val="center"/>
          </w:tcPr>
          <w:p w14:paraId="0379D425">
            <w:pPr>
              <w:pStyle w:val="178"/>
              <w:rPr>
                <w:rFonts w:hint="eastAsia"/>
              </w:rPr>
            </w:pPr>
            <w:r>
              <w:rPr>
                <w:rFonts w:hint="eastAsia" w:ascii="宋体" w:hAnsi="宋体" w:eastAsia="宋体" w:cs="宋体"/>
                <w:kern w:val="0"/>
                <w:sz w:val="21"/>
                <w:szCs w:val="21"/>
              </w:rPr>
              <w:t>○</w:t>
            </w:r>
          </w:p>
        </w:tc>
        <w:tc>
          <w:tcPr>
            <w:tcW w:w="1062" w:type="dxa"/>
            <w:vAlign w:val="center"/>
          </w:tcPr>
          <w:p w14:paraId="2C6084E5">
            <w:pPr>
              <w:pStyle w:val="178"/>
              <w:rPr>
                <w:rFonts w:hint="eastAsia"/>
              </w:rPr>
            </w:pPr>
            <w:r>
              <w:rPr>
                <w:rFonts w:hint="eastAsia" w:ascii="宋体" w:hAnsi="宋体" w:eastAsia="宋体" w:cs="宋体"/>
                <w:kern w:val="0"/>
                <w:sz w:val="21"/>
                <w:szCs w:val="21"/>
              </w:rPr>
              <w:t>○</w:t>
            </w:r>
          </w:p>
        </w:tc>
        <w:tc>
          <w:tcPr>
            <w:tcW w:w="1062" w:type="dxa"/>
            <w:vAlign w:val="center"/>
          </w:tcPr>
          <w:p w14:paraId="031D8291">
            <w:pPr>
              <w:pStyle w:val="178"/>
              <w:rPr>
                <w:rFonts w:hint="eastAsia"/>
              </w:rPr>
            </w:pPr>
          </w:p>
        </w:tc>
        <w:tc>
          <w:tcPr>
            <w:tcW w:w="1062" w:type="dxa"/>
            <w:vAlign w:val="center"/>
          </w:tcPr>
          <w:p w14:paraId="776BE121">
            <w:pPr>
              <w:pStyle w:val="178"/>
              <w:rPr>
                <w:rFonts w:hint="eastAsia"/>
              </w:rPr>
            </w:pPr>
          </w:p>
        </w:tc>
      </w:tr>
    </w:tbl>
    <w:p w14:paraId="08E54111">
      <w:pPr>
        <w:pStyle w:val="174"/>
        <w:numPr>
          <w:ilvl w:val="0"/>
          <w:numId w:val="0"/>
        </w:numPr>
        <w:rPr>
          <w:rFonts w:hint="eastAsia" w:ascii="黑体" w:hAnsi="黑体" w:eastAsia="黑体" w:cs="黑体"/>
          <w:lang w:val="en-US" w:eastAsia="zh-CN"/>
        </w:rPr>
      </w:pPr>
    </w:p>
    <w:p w14:paraId="6CA3FB2C">
      <w:pPr>
        <w:pStyle w:val="174"/>
        <w:numPr>
          <w:ilvl w:val="0"/>
          <w:numId w:val="0"/>
        </w:numPr>
        <w:rPr>
          <w:rFonts w:hint="eastAsia"/>
          <w:lang w:val="en-US" w:eastAsia="zh-CN"/>
        </w:rPr>
      </w:pPr>
      <w:r>
        <w:rPr>
          <w:rFonts w:hint="eastAsia" w:ascii="黑体" w:hAnsi="黑体" w:eastAsia="黑体" w:cs="黑体"/>
          <w:lang w:val="en-US" w:eastAsia="zh-CN"/>
        </w:rPr>
        <w:t xml:space="preserve">C.1.2  </w:t>
      </w:r>
      <w:r>
        <w:rPr>
          <w:rFonts w:hint="eastAsia"/>
          <w:lang w:val="en-US" w:eastAsia="zh-CN"/>
        </w:rPr>
        <w:t>其他类别的终产品毒理学测试在选择试验项目时应根据实际情况确定，可按具体产品用途和类别增加或减少检验项目。</w:t>
      </w:r>
    </w:p>
    <w:p w14:paraId="70EEAB7A">
      <w:pPr>
        <w:pStyle w:val="174"/>
        <w:numPr>
          <w:ilvl w:val="0"/>
          <w:numId w:val="0"/>
        </w:numPr>
        <w:rPr>
          <w:rFonts w:hint="eastAsia"/>
          <w:lang w:val="en-US" w:eastAsia="zh-CN"/>
        </w:rPr>
      </w:pPr>
      <w:r>
        <w:rPr>
          <w:rFonts w:hint="eastAsia" w:ascii="黑体" w:hAnsi="黑体" w:eastAsia="黑体" w:cs="黑体"/>
          <w:lang w:val="en-US" w:eastAsia="zh-CN"/>
        </w:rPr>
        <w:t xml:space="preserve">C.1.3  </w:t>
      </w:r>
      <w:r>
        <w:rPr>
          <w:rFonts w:hint="eastAsia"/>
          <w:lang w:val="en-US" w:eastAsia="zh-CN"/>
        </w:rPr>
        <w:t>修护类和涂彩类指（趾）甲产品不需要进行毒理学试验。</w:t>
      </w:r>
    </w:p>
    <w:p w14:paraId="7B5C92CA">
      <w:pPr>
        <w:pStyle w:val="174"/>
        <w:numPr>
          <w:ilvl w:val="0"/>
          <w:numId w:val="0"/>
        </w:numPr>
        <w:rPr>
          <w:rFonts w:hint="eastAsia"/>
          <w:lang w:val="en-US" w:eastAsia="zh-CN"/>
        </w:rPr>
      </w:pPr>
      <w:r>
        <w:rPr>
          <w:rFonts w:hint="eastAsia" w:ascii="黑体" w:hAnsi="黑体" w:eastAsia="黑体" w:cs="黑体"/>
          <w:lang w:val="en-US" w:eastAsia="zh-CN"/>
        </w:rPr>
        <w:t xml:space="preserve">C.1.4  </w:t>
      </w:r>
      <w:r>
        <w:rPr>
          <w:rFonts w:hint="eastAsia"/>
          <w:lang w:val="en-US" w:eastAsia="zh-CN"/>
        </w:rPr>
        <w:t>化学防晒剂含量≥0.5%（w/w）的产品（淋洗类、香水类、指甲油类除外），除表中所列项目外，还应进行皮肤光毒性试验和皮肤变态反应试验。</w:t>
      </w:r>
    </w:p>
    <w:p w14:paraId="2027141A">
      <w:pPr>
        <w:pStyle w:val="174"/>
        <w:numPr>
          <w:ilvl w:val="0"/>
          <w:numId w:val="0"/>
        </w:numPr>
        <w:rPr>
          <w:rFonts w:hint="eastAsia"/>
          <w:lang w:val="en-US" w:eastAsia="zh-CN"/>
        </w:rPr>
      </w:pPr>
      <w:r>
        <w:rPr>
          <w:rFonts w:hint="eastAsia" w:ascii="黑体" w:hAnsi="黑体" w:eastAsia="黑体" w:cs="黑体"/>
          <w:lang w:val="en-US" w:eastAsia="zh-CN"/>
        </w:rPr>
        <w:t xml:space="preserve">C.1.5  </w:t>
      </w:r>
      <w:r>
        <w:rPr>
          <w:rFonts w:hint="eastAsia"/>
          <w:lang w:val="en-US" w:eastAsia="zh-CN"/>
        </w:rPr>
        <w:t>淋洗类护肤产品只需要进行急性皮肤刺激性试验，不需要进行多次皮肤刺激性试验。。</w:t>
      </w:r>
    </w:p>
    <w:p w14:paraId="2AC2767F">
      <w:pPr>
        <w:pStyle w:val="174"/>
        <w:numPr>
          <w:ilvl w:val="0"/>
          <w:numId w:val="0"/>
        </w:numPr>
        <w:rPr>
          <w:rFonts w:hint="eastAsia"/>
          <w:lang w:val="en-US" w:eastAsia="zh-CN"/>
        </w:rPr>
      </w:pPr>
      <w:r>
        <w:rPr>
          <w:rFonts w:hint="eastAsia" w:ascii="黑体" w:hAnsi="黑体" w:eastAsia="黑体" w:cs="黑体"/>
          <w:lang w:val="en-US" w:eastAsia="zh-CN"/>
        </w:rPr>
        <w:t xml:space="preserve">C.1.6  </w:t>
      </w:r>
      <w:r>
        <w:rPr>
          <w:rFonts w:hint="eastAsia"/>
          <w:lang w:val="en-US" w:eastAsia="zh-CN"/>
        </w:rPr>
        <w:t>免洗护发类产品和描眉类彩妆品不需要进行急性眼刺激性试验。</w:t>
      </w:r>
    </w:p>
    <w:p w14:paraId="447DC95C">
      <w:pPr>
        <w:pStyle w:val="174"/>
        <w:numPr>
          <w:ilvl w:val="0"/>
          <w:numId w:val="0"/>
        </w:numPr>
        <w:rPr>
          <w:rFonts w:hint="eastAsia"/>
          <w:lang w:val="en-US" w:eastAsia="zh-CN"/>
        </w:rPr>
      </w:pPr>
      <w:r>
        <w:rPr>
          <w:rFonts w:hint="eastAsia" w:ascii="黑体" w:hAnsi="黑体" w:eastAsia="黑体" w:cs="黑体"/>
          <w:lang w:val="en-US" w:eastAsia="zh-CN"/>
        </w:rPr>
        <w:t xml:space="preserve">C.1.7  </w:t>
      </w:r>
      <w:r>
        <w:rPr>
          <w:rFonts w:hint="eastAsia"/>
          <w:lang w:val="en-US" w:eastAsia="zh-CN"/>
        </w:rPr>
        <w:t>沐浴类产品应进行急性眼刺激性试验。</w:t>
      </w:r>
    </w:p>
    <w:p w14:paraId="6C1BDC69">
      <w:pPr>
        <w:pStyle w:val="105"/>
        <w:numPr>
          <w:ilvl w:val="2"/>
          <w:numId w:val="0"/>
        </w:numPr>
        <w:spacing w:before="120" w:after="120"/>
        <w:ind w:leftChars="0"/>
        <w:rPr>
          <w:rFonts w:hint="default"/>
          <w:lang w:val="en-US"/>
        </w:rPr>
      </w:pPr>
      <w:r>
        <w:rPr>
          <w:rFonts w:hint="eastAsia" w:hAnsi="黑体" w:cs="黑体"/>
          <w:sz w:val="21"/>
          <w:szCs w:val="21"/>
          <w:lang w:val="en-US" w:eastAsia="zh-CN"/>
        </w:rPr>
        <w:t>C.2  测试结果</w:t>
      </w:r>
    </w:p>
    <w:p w14:paraId="4F0AFB88">
      <w:pPr>
        <w:pStyle w:val="174"/>
        <w:numPr>
          <w:ilvl w:val="0"/>
          <w:numId w:val="0"/>
        </w:numPr>
        <w:ind w:firstLine="420" w:firstLineChars="200"/>
        <w:rPr>
          <w:rFonts w:hint="eastAsia"/>
          <w:lang w:val="en-US" w:eastAsia="zh-CN"/>
        </w:rPr>
      </w:pPr>
      <w:r>
        <w:rPr>
          <w:rFonts w:hint="eastAsia"/>
          <w:lang w:val="en-US" w:eastAsia="zh-CN"/>
        </w:rPr>
        <w:t>终产品的动物试验不得出现有明显的皮肤刺激性/腐蚀性和眼睛刺激性/腐蚀性，不得出现有明显的皮肤变态反应和皮肤光毒性。儿童化妆品的急性眼刺激性/腐蚀性试验结果应当为无刺激性或者微刺激性，仅当试验结果为无刺激性时，可以宣称无泪配方；皮肤刺激性/腐蚀性试验结果应当为无刺激性，皮肤变态反应性试验结论应当为无致敏性，皮肤光毒性试验结果应当为无光毒性。</w:t>
      </w:r>
    </w:p>
    <w:p w14:paraId="1AF27064">
      <w:pPr>
        <w:pStyle w:val="174"/>
        <w:numPr>
          <w:ilvl w:val="0"/>
          <w:numId w:val="0"/>
        </w:numPr>
        <w:ind w:firstLine="420" w:firstLineChars="200"/>
        <w:rPr>
          <w:rFonts w:hint="eastAsia"/>
          <w:lang w:val="en-US" w:eastAsia="zh-CN"/>
        </w:rPr>
      </w:pPr>
    </w:p>
    <w:p w14:paraId="4A773EB1">
      <w:pPr>
        <w:pStyle w:val="174"/>
        <w:numPr>
          <w:ilvl w:val="0"/>
          <w:numId w:val="0"/>
        </w:numPr>
        <w:ind w:firstLine="420" w:firstLineChars="200"/>
        <w:rPr>
          <w:rFonts w:hint="eastAsia"/>
          <w:lang w:val="en-US" w:eastAsia="zh-CN"/>
        </w:rPr>
      </w:pPr>
    </w:p>
    <w:p w14:paraId="488475BC">
      <w:pPr>
        <w:pStyle w:val="174"/>
        <w:numPr>
          <w:ilvl w:val="0"/>
          <w:numId w:val="0"/>
        </w:numPr>
        <w:ind w:firstLine="420" w:firstLineChars="200"/>
        <w:rPr>
          <w:rFonts w:hint="eastAsia"/>
          <w:lang w:val="en-US" w:eastAsia="zh-CN"/>
        </w:rPr>
      </w:pPr>
    </w:p>
    <w:p w14:paraId="77752F12">
      <w:pPr>
        <w:pStyle w:val="174"/>
        <w:numPr>
          <w:ilvl w:val="0"/>
          <w:numId w:val="0"/>
        </w:numPr>
        <w:ind w:firstLine="420" w:firstLineChars="200"/>
        <w:rPr>
          <w:rFonts w:hint="eastAsia"/>
          <w:lang w:val="en-US" w:eastAsia="zh-CN"/>
        </w:rPr>
      </w:pPr>
    </w:p>
    <w:p w14:paraId="042B8CAA">
      <w:pPr>
        <w:pStyle w:val="174"/>
        <w:numPr>
          <w:ilvl w:val="0"/>
          <w:numId w:val="0"/>
        </w:numPr>
        <w:ind w:firstLine="420" w:firstLineChars="200"/>
        <w:rPr>
          <w:rFonts w:hint="eastAsia"/>
          <w:lang w:val="en-US" w:eastAsia="zh-CN"/>
        </w:rPr>
      </w:pPr>
    </w:p>
    <w:p w14:paraId="1DBD4FD4">
      <w:pPr>
        <w:pStyle w:val="174"/>
        <w:numPr>
          <w:ilvl w:val="0"/>
          <w:numId w:val="0"/>
        </w:numPr>
        <w:ind w:firstLine="420" w:firstLineChars="200"/>
        <w:rPr>
          <w:rFonts w:hint="eastAsia"/>
          <w:lang w:val="en-US" w:eastAsia="zh-CN"/>
        </w:rPr>
      </w:pPr>
    </w:p>
    <w:p w14:paraId="3584C8E8">
      <w:pPr>
        <w:pStyle w:val="174"/>
        <w:numPr>
          <w:ilvl w:val="0"/>
          <w:numId w:val="0"/>
        </w:numPr>
        <w:ind w:firstLine="420" w:firstLineChars="200"/>
        <w:rPr>
          <w:rFonts w:hint="eastAsia"/>
          <w:lang w:val="en-US" w:eastAsia="zh-CN"/>
        </w:rPr>
      </w:pPr>
    </w:p>
    <w:p w14:paraId="27A704D8">
      <w:pPr>
        <w:pStyle w:val="174"/>
        <w:numPr>
          <w:ilvl w:val="0"/>
          <w:numId w:val="0"/>
        </w:numPr>
        <w:ind w:firstLine="420" w:firstLineChars="200"/>
        <w:rPr>
          <w:rFonts w:hint="eastAsia"/>
          <w:lang w:val="en-US" w:eastAsia="zh-CN"/>
        </w:rPr>
      </w:pPr>
    </w:p>
    <w:p w14:paraId="3150274A">
      <w:pPr>
        <w:pStyle w:val="174"/>
        <w:numPr>
          <w:ilvl w:val="0"/>
          <w:numId w:val="0"/>
        </w:numPr>
        <w:ind w:firstLine="420" w:firstLineChars="200"/>
        <w:rPr>
          <w:rFonts w:hint="eastAsia"/>
          <w:lang w:val="en-US" w:eastAsia="zh-CN"/>
        </w:rPr>
      </w:pPr>
    </w:p>
    <w:p w14:paraId="63F154AD">
      <w:pPr>
        <w:pStyle w:val="174"/>
        <w:numPr>
          <w:ilvl w:val="0"/>
          <w:numId w:val="0"/>
        </w:numPr>
        <w:ind w:firstLine="420" w:firstLineChars="200"/>
        <w:rPr>
          <w:rFonts w:hint="eastAsia"/>
          <w:lang w:val="en-US" w:eastAsia="zh-CN"/>
        </w:rPr>
      </w:pPr>
    </w:p>
    <w:p w14:paraId="60C3C9E4">
      <w:pPr>
        <w:pStyle w:val="174"/>
        <w:numPr>
          <w:ilvl w:val="0"/>
          <w:numId w:val="0"/>
        </w:numPr>
        <w:ind w:firstLine="420" w:firstLineChars="200"/>
        <w:rPr>
          <w:rFonts w:hint="eastAsia"/>
          <w:lang w:val="en-US" w:eastAsia="zh-CN"/>
        </w:rPr>
      </w:pPr>
    </w:p>
    <w:p w14:paraId="5C85F33E">
      <w:pPr>
        <w:pStyle w:val="174"/>
        <w:numPr>
          <w:ilvl w:val="0"/>
          <w:numId w:val="0"/>
        </w:numPr>
        <w:ind w:firstLine="420" w:firstLineChars="200"/>
        <w:rPr>
          <w:rFonts w:hint="eastAsia"/>
          <w:lang w:val="en-US" w:eastAsia="zh-CN"/>
        </w:rPr>
      </w:pPr>
    </w:p>
    <w:p w14:paraId="5605594A">
      <w:pPr>
        <w:pStyle w:val="174"/>
        <w:numPr>
          <w:ilvl w:val="0"/>
          <w:numId w:val="0"/>
        </w:numPr>
        <w:ind w:firstLine="420" w:firstLineChars="200"/>
        <w:rPr>
          <w:rFonts w:hint="eastAsia"/>
          <w:lang w:val="en-US" w:eastAsia="zh-CN"/>
        </w:rPr>
      </w:pPr>
    </w:p>
    <w:p w14:paraId="040D30AD">
      <w:pPr>
        <w:pStyle w:val="56"/>
        <w:ind w:left="0" w:leftChars="0" w:firstLine="0" w:firstLineChars="0"/>
        <w:rPr>
          <w:rFonts w:hint="eastAsia" w:ascii="宋体" w:hAnsi="宋体" w:eastAsia="宋体" w:cs="宋体"/>
          <w:i w:val="0"/>
          <w:iCs w:val="0"/>
          <w:caps w:val="0"/>
          <w:color w:val="333333"/>
          <w:spacing w:val="0"/>
          <w:sz w:val="18"/>
          <w:szCs w:val="18"/>
          <w:shd w:val="clear" w:fill="FFFFFF"/>
          <w:lang w:val="en-US" w:eastAsia="zh-CN"/>
        </w:rPr>
      </w:pPr>
    </w:p>
    <w:p w14:paraId="63D72C4A">
      <w:pPr>
        <w:pStyle w:val="76"/>
        <w:spacing w:after="120"/>
        <w:rPr>
          <w:highlight w:val="none"/>
        </w:rPr>
      </w:pPr>
      <w:r>
        <w:br w:type="textWrapping"/>
      </w:r>
      <w:r>
        <w:rPr>
          <w:rFonts w:hint="eastAsia"/>
        </w:rPr>
        <w:t>（</w:t>
      </w:r>
      <w:r>
        <w:rPr>
          <w:rFonts w:hint="eastAsia"/>
          <w:lang w:eastAsia="zh-CN"/>
        </w:rPr>
        <w:t>资料性</w:t>
      </w:r>
      <w:r>
        <w:rPr>
          <w:rFonts w:hint="eastAsia"/>
        </w:rPr>
        <w:t>）</w:t>
      </w:r>
      <w:r>
        <w:br w:type="textWrapping"/>
      </w:r>
      <w:r>
        <w:rPr>
          <w:rFonts w:hint="eastAsia"/>
          <w:highlight w:val="none"/>
        </w:rPr>
        <w:t>防腐挑战测试</w:t>
      </w:r>
    </w:p>
    <w:p w14:paraId="58720204">
      <w:pPr>
        <w:pStyle w:val="105"/>
        <w:numPr>
          <w:ilvl w:val="2"/>
          <w:numId w:val="0"/>
        </w:numPr>
        <w:spacing w:before="120" w:after="120"/>
        <w:ind w:leftChars="0"/>
        <w:rPr>
          <w:rFonts w:hint="default"/>
          <w:highlight w:val="none"/>
          <w:lang w:val="en-US"/>
        </w:rPr>
      </w:pPr>
      <w:r>
        <w:rPr>
          <w:rFonts w:hint="eastAsia" w:hAnsi="黑体" w:cs="黑体"/>
          <w:sz w:val="21"/>
          <w:szCs w:val="21"/>
          <w:highlight w:val="none"/>
          <w:lang w:val="en-US" w:eastAsia="zh-CN"/>
        </w:rPr>
        <w:t>D</w:t>
      </w:r>
      <w:r>
        <w:rPr>
          <w:rFonts w:hint="eastAsia" w:hAnsi="黑体" w:cs="黑体"/>
          <w:sz w:val="21"/>
          <w:szCs w:val="21"/>
          <w:lang w:val="en-US" w:eastAsia="zh-CN"/>
        </w:rPr>
        <w:t>.</w:t>
      </w:r>
      <w:r>
        <w:rPr>
          <w:rFonts w:hint="eastAsia" w:hAnsi="黑体" w:cs="黑体"/>
          <w:sz w:val="21"/>
          <w:szCs w:val="21"/>
          <w:highlight w:val="none"/>
          <w:lang w:val="en-US" w:eastAsia="zh-CN"/>
        </w:rPr>
        <w:t>1  总体要求</w:t>
      </w:r>
    </w:p>
    <w:p w14:paraId="72C3916B">
      <w:pPr>
        <w:pStyle w:val="174"/>
        <w:numPr>
          <w:ilvl w:val="0"/>
          <w:numId w:val="0"/>
        </w:numPr>
        <w:ind w:firstLine="420" w:firstLineChars="200"/>
        <w:rPr>
          <w:rFonts w:hint="eastAsia"/>
          <w:highlight w:val="none"/>
          <w:lang w:val="en-US" w:eastAsia="zh-CN"/>
        </w:rPr>
      </w:pPr>
      <w:r>
        <w:rPr>
          <w:rFonts w:hint="eastAsia"/>
          <w:highlight w:val="none"/>
          <w:lang w:val="en-US" w:eastAsia="zh-CN"/>
        </w:rPr>
        <w:t>安全评估报告中应附防腐挑战测试报告和/或防腐挑战评估结论。根据产品特性，属于不易受微生物污染的产品，即非含水产品、有机溶剂为主的产品、含水产品中如水活度＜0.7、乙醇含量＞20％（体积）、高/低pH值（≥10或≤3）、灌装温度＞65℃的产品、一次性或包装不能开启等类型的产品等，可不进行防腐效能评价，但化妆品安全性评估人员应就相关情况予以说明。</w:t>
      </w:r>
    </w:p>
    <w:p w14:paraId="3903897B">
      <w:pPr>
        <w:pStyle w:val="174"/>
        <w:numPr>
          <w:ilvl w:val="0"/>
          <w:numId w:val="0"/>
        </w:numPr>
        <w:ind w:firstLine="420" w:firstLineChars="200"/>
        <w:rPr>
          <w:rFonts w:hint="eastAsia"/>
          <w:highlight w:val="none"/>
          <w:lang w:val="en-US" w:eastAsia="zh-CN"/>
        </w:rPr>
      </w:pPr>
      <w:r>
        <w:rPr>
          <w:rFonts w:hint="eastAsia"/>
          <w:highlight w:val="none"/>
          <w:lang w:val="en-US" w:eastAsia="zh-CN"/>
        </w:rPr>
        <w:t>对于防腐体系相同且配方近似的产品，可参考已有的资料和实验数据对产品防腐体系的有效性进行评估，形成防腐挑战评价报告，并提交其防腐体系和配方体系的说明材料。</w:t>
      </w:r>
    </w:p>
    <w:p w14:paraId="11C76572">
      <w:pPr>
        <w:pStyle w:val="105"/>
        <w:numPr>
          <w:ilvl w:val="2"/>
          <w:numId w:val="0"/>
        </w:numPr>
        <w:spacing w:before="120" w:after="120"/>
        <w:ind w:leftChars="0"/>
        <w:rPr>
          <w:rFonts w:hint="default"/>
          <w:highlight w:val="none"/>
          <w:lang w:val="en-US"/>
        </w:rPr>
      </w:pPr>
      <w:r>
        <w:rPr>
          <w:rFonts w:hint="eastAsia" w:hAnsi="黑体" w:cs="黑体"/>
          <w:sz w:val="21"/>
          <w:szCs w:val="21"/>
          <w:highlight w:val="none"/>
          <w:lang w:val="en-US" w:eastAsia="zh-CN"/>
        </w:rPr>
        <w:t>D</w:t>
      </w:r>
      <w:r>
        <w:rPr>
          <w:rFonts w:hint="eastAsia" w:hAnsi="黑体" w:cs="黑体"/>
          <w:sz w:val="21"/>
          <w:szCs w:val="21"/>
          <w:lang w:val="en-US" w:eastAsia="zh-CN"/>
        </w:rPr>
        <w:t>.</w:t>
      </w:r>
      <w:r>
        <w:rPr>
          <w:rFonts w:hint="eastAsia" w:hAnsi="黑体" w:cs="黑体"/>
          <w:sz w:val="21"/>
          <w:szCs w:val="21"/>
          <w:highlight w:val="none"/>
          <w:lang w:val="en-US" w:eastAsia="zh-CN"/>
        </w:rPr>
        <w:t>2  总体要求</w:t>
      </w:r>
    </w:p>
    <w:p w14:paraId="16906DCC">
      <w:pPr>
        <w:pStyle w:val="56"/>
        <w:rPr>
          <w:rFonts w:hint="eastAsia"/>
          <w:lang w:val="en-US" w:eastAsia="zh-CN"/>
        </w:rPr>
      </w:pPr>
      <w:r>
        <w:rPr>
          <w:rFonts w:hint="eastAsia"/>
          <w:lang w:val="en-US" w:eastAsia="zh-CN"/>
        </w:rPr>
        <w:t>化妆品备案人可根据自身的实际需求和情况，选择行业标准、国际标准或者自建方法，对产品防腐体系的有效性进行全面评价，主要测试方法参考表D.2。</w:t>
      </w:r>
    </w:p>
    <w:p w14:paraId="0866F015">
      <w:pPr>
        <w:pStyle w:val="112"/>
        <w:numPr>
          <w:ilvl w:val="0"/>
          <w:numId w:val="0"/>
        </w:numPr>
        <w:spacing w:before="120" w:after="120"/>
        <w:ind w:leftChars="0"/>
        <w:jc w:val="center"/>
        <w:rPr>
          <w:rFonts w:hint="eastAsia"/>
          <w:lang w:val="en-US" w:eastAsia="zh-CN"/>
        </w:rPr>
      </w:pPr>
      <w:r>
        <w:rPr>
          <w:rFonts w:hint="eastAsia"/>
          <w:lang w:eastAsia="zh-CN"/>
        </w:rPr>
        <w:t>表</w:t>
      </w:r>
      <w:r>
        <w:rPr>
          <w:rFonts w:hint="eastAsia"/>
          <w:lang w:val="en-US" w:eastAsia="zh-CN"/>
        </w:rPr>
        <w:t>D.1  防腐挑战测试方法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376"/>
        <w:gridCol w:w="5958"/>
      </w:tblGrid>
      <w:tr w14:paraId="3DB6B9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blHeader/>
          <w:jc w:val="center"/>
        </w:trPr>
        <w:tc>
          <w:tcPr>
            <w:tcW w:w="3376" w:type="dxa"/>
            <w:tcBorders>
              <w:top w:val="single" w:color="auto" w:sz="8" w:space="0"/>
              <w:bottom w:val="single" w:color="auto" w:sz="8" w:space="0"/>
            </w:tcBorders>
            <w:vAlign w:val="center"/>
          </w:tcPr>
          <w:p w14:paraId="47EB0A84">
            <w:pPr>
              <w:pStyle w:val="178"/>
            </w:pPr>
            <w:r>
              <w:rPr>
                <w:rFonts w:hint="eastAsia"/>
              </w:rPr>
              <w:t>测试方法</w:t>
            </w:r>
          </w:p>
        </w:tc>
        <w:tc>
          <w:tcPr>
            <w:tcW w:w="5958" w:type="dxa"/>
            <w:tcBorders>
              <w:top w:val="single" w:color="auto" w:sz="8" w:space="0"/>
              <w:bottom w:val="single" w:color="auto" w:sz="8" w:space="0"/>
            </w:tcBorders>
            <w:vAlign w:val="center"/>
          </w:tcPr>
          <w:p w14:paraId="45F4947E">
            <w:pPr>
              <w:pStyle w:val="178"/>
            </w:pPr>
            <w:r>
              <w:rPr>
                <w:rFonts w:hint="eastAsia"/>
              </w:rPr>
              <w:t>适用范围</w:t>
            </w:r>
          </w:p>
        </w:tc>
      </w:tr>
      <w:tr w14:paraId="4828DD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83" w:hRule="atLeast"/>
          <w:jc w:val="center"/>
        </w:trPr>
        <w:tc>
          <w:tcPr>
            <w:tcW w:w="3376" w:type="dxa"/>
            <w:tcBorders>
              <w:top w:val="single" w:color="auto" w:sz="8" w:space="0"/>
            </w:tcBorders>
            <w:vAlign w:val="center"/>
          </w:tcPr>
          <w:p w14:paraId="23C04B0C">
            <w:pPr>
              <w:pStyle w:val="178"/>
            </w:pPr>
            <w:r>
              <w:rPr>
                <w:rFonts w:hint="eastAsia"/>
              </w:rPr>
              <w:t>美国药典</w:t>
            </w:r>
          </w:p>
        </w:tc>
        <w:tc>
          <w:tcPr>
            <w:tcW w:w="5958" w:type="dxa"/>
            <w:tcBorders>
              <w:top w:val="single" w:color="auto" w:sz="8" w:space="0"/>
            </w:tcBorders>
            <w:vAlign w:val="center"/>
          </w:tcPr>
          <w:p w14:paraId="3299E6AF">
            <w:pPr>
              <w:pStyle w:val="178"/>
            </w:pPr>
            <w:r>
              <w:rPr>
                <w:rFonts w:hint="eastAsia"/>
              </w:rPr>
              <w:t>根据产品分类</w:t>
            </w:r>
          </w:p>
        </w:tc>
      </w:tr>
      <w:tr w14:paraId="50158F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76" w:type="dxa"/>
            <w:vAlign w:val="center"/>
          </w:tcPr>
          <w:p w14:paraId="6FDAA406">
            <w:pPr>
              <w:pStyle w:val="178"/>
            </w:pPr>
            <w:r>
              <w:rPr>
                <w:rFonts w:hint="eastAsia"/>
              </w:rPr>
              <w:t>欧洲药典</w:t>
            </w:r>
          </w:p>
        </w:tc>
        <w:tc>
          <w:tcPr>
            <w:tcW w:w="5958" w:type="dxa"/>
            <w:vAlign w:val="center"/>
          </w:tcPr>
          <w:p w14:paraId="2B4CB2E7">
            <w:pPr>
              <w:pStyle w:val="178"/>
            </w:pPr>
            <w:r>
              <w:rPr>
                <w:rFonts w:hint="eastAsia"/>
              </w:rPr>
              <w:t>根据产品分类</w:t>
            </w:r>
          </w:p>
        </w:tc>
      </w:tr>
      <w:tr w14:paraId="4AC55E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76" w:type="dxa"/>
            <w:vAlign w:val="center"/>
          </w:tcPr>
          <w:p w14:paraId="5014A1AD">
            <w:pPr>
              <w:pStyle w:val="178"/>
              <w:rPr>
                <w:rFonts w:hint="eastAsia"/>
              </w:rPr>
            </w:pPr>
            <w:r>
              <w:rPr>
                <w:rFonts w:hint="eastAsia"/>
              </w:rPr>
              <w:t>ISO 11930</w:t>
            </w:r>
          </w:p>
        </w:tc>
        <w:tc>
          <w:tcPr>
            <w:tcW w:w="5958" w:type="dxa"/>
            <w:vAlign w:val="center"/>
          </w:tcPr>
          <w:p w14:paraId="2F311DDC">
            <w:pPr>
              <w:pStyle w:val="178"/>
            </w:pPr>
            <w:r>
              <w:rPr>
                <w:rFonts w:hint="eastAsia"/>
              </w:rPr>
              <w:t>水溶性或水混溶性化妆品</w:t>
            </w:r>
          </w:p>
        </w:tc>
      </w:tr>
      <w:tr w14:paraId="12A2F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76" w:type="dxa"/>
            <w:vAlign w:val="center"/>
          </w:tcPr>
          <w:p w14:paraId="2B18187D">
            <w:pPr>
              <w:pStyle w:val="178"/>
              <w:rPr>
                <w:rFonts w:hint="eastAsia"/>
              </w:rPr>
            </w:pPr>
            <w:r>
              <w:rPr>
                <w:rFonts w:hint="eastAsia"/>
              </w:rPr>
              <w:t>PCPC 2024 Microbiology Guidelines</w:t>
            </w:r>
          </w:p>
        </w:tc>
        <w:tc>
          <w:tcPr>
            <w:tcW w:w="5958" w:type="dxa"/>
            <w:vAlign w:val="center"/>
          </w:tcPr>
          <w:p w14:paraId="015181F0">
            <w:pPr>
              <w:pStyle w:val="178"/>
            </w:pPr>
            <w:r>
              <w:rPr>
                <w:rFonts w:hint="eastAsia"/>
                <w:lang w:val="en-US" w:eastAsia="zh-CN"/>
              </w:rPr>
              <w:t>化妆品全部类型</w:t>
            </w:r>
          </w:p>
        </w:tc>
      </w:tr>
      <w:tr w14:paraId="479224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76" w:type="dxa"/>
            <w:vAlign w:val="center"/>
          </w:tcPr>
          <w:p w14:paraId="5CBCAEC2">
            <w:pPr>
              <w:pStyle w:val="178"/>
              <w:rPr>
                <w:rFonts w:hint="eastAsia"/>
              </w:rPr>
            </w:pPr>
            <w:r>
              <w:rPr>
                <w:rFonts w:hint="eastAsia"/>
              </w:rPr>
              <w:t>T/SHRH 017-2019</w:t>
            </w:r>
          </w:p>
        </w:tc>
        <w:tc>
          <w:tcPr>
            <w:tcW w:w="5958" w:type="dxa"/>
            <w:vAlign w:val="center"/>
          </w:tcPr>
          <w:p w14:paraId="40616D14">
            <w:pPr>
              <w:pStyle w:val="178"/>
            </w:pPr>
            <w:r>
              <w:rPr>
                <w:rFonts w:hint="eastAsia"/>
              </w:rPr>
              <w:t>液体、乳液、膏霜</w:t>
            </w:r>
          </w:p>
        </w:tc>
      </w:tr>
      <w:tr w14:paraId="55FC4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76" w:type="dxa"/>
            <w:vAlign w:val="center"/>
          </w:tcPr>
          <w:p w14:paraId="53AE45E2">
            <w:pPr>
              <w:pStyle w:val="178"/>
              <w:rPr>
                <w:rFonts w:hint="eastAsia"/>
              </w:rPr>
            </w:pPr>
            <w:r>
              <w:rPr>
                <w:rFonts w:hint="eastAsia"/>
              </w:rPr>
              <w:t>T/GDCDC 010-2019</w:t>
            </w:r>
          </w:p>
        </w:tc>
        <w:tc>
          <w:tcPr>
            <w:tcW w:w="5958" w:type="dxa"/>
            <w:vAlign w:val="center"/>
          </w:tcPr>
          <w:p w14:paraId="46F98CFA">
            <w:pPr>
              <w:pStyle w:val="178"/>
            </w:pPr>
            <w:r>
              <w:rPr>
                <w:rFonts w:hint="eastAsia"/>
              </w:rPr>
              <w:t>亲水性膏、霜、乳、水剂样品</w:t>
            </w:r>
          </w:p>
        </w:tc>
      </w:tr>
      <w:tr w14:paraId="69E9ED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76" w:type="dxa"/>
            <w:vAlign w:val="center"/>
          </w:tcPr>
          <w:p w14:paraId="71EB0F6A">
            <w:pPr>
              <w:pStyle w:val="178"/>
              <w:rPr>
                <w:rFonts w:hint="eastAsia"/>
              </w:rPr>
            </w:pPr>
            <w:r>
              <w:rPr>
                <w:rFonts w:hint="eastAsia"/>
              </w:rPr>
              <w:t>防腐挑战测试评估技术指南</w:t>
            </w:r>
          </w:p>
        </w:tc>
        <w:tc>
          <w:tcPr>
            <w:tcW w:w="5958" w:type="dxa"/>
            <w:vAlign w:val="center"/>
          </w:tcPr>
          <w:p w14:paraId="0D690508">
            <w:pPr>
              <w:pStyle w:val="178"/>
              <w:rPr>
                <w:rFonts w:hint="default" w:eastAsia="宋体"/>
                <w:lang w:val="en-US" w:eastAsia="zh-CN"/>
              </w:rPr>
            </w:pPr>
            <w:r>
              <w:rPr>
                <w:rFonts w:hint="eastAsia"/>
                <w:lang w:val="en-US" w:eastAsia="zh-CN"/>
              </w:rPr>
              <w:t>化妆品全部类型</w:t>
            </w:r>
          </w:p>
        </w:tc>
      </w:tr>
    </w:tbl>
    <w:p w14:paraId="4F2ADADC">
      <w:pPr>
        <w:pStyle w:val="105"/>
        <w:numPr>
          <w:ilvl w:val="2"/>
          <w:numId w:val="0"/>
        </w:numPr>
        <w:spacing w:before="120" w:after="120"/>
        <w:ind w:leftChars="0"/>
        <w:rPr>
          <w:rFonts w:hint="default"/>
          <w:lang w:val="en-US"/>
        </w:rPr>
      </w:pPr>
      <w:r>
        <w:rPr>
          <w:rFonts w:hint="eastAsia" w:hAnsi="黑体" w:cs="黑体"/>
          <w:sz w:val="21"/>
          <w:szCs w:val="21"/>
          <w:lang w:val="en-US" w:eastAsia="zh-CN"/>
        </w:rPr>
        <w:t>D.3  资料要求</w:t>
      </w:r>
    </w:p>
    <w:p w14:paraId="7244A4FA">
      <w:pPr>
        <w:pStyle w:val="56"/>
        <w:rPr>
          <w:rFonts w:hint="eastAsia"/>
          <w:lang w:val="en-US" w:eastAsia="zh-CN"/>
        </w:rPr>
      </w:pPr>
      <w:r>
        <w:rPr>
          <w:rFonts w:hint="eastAsia"/>
          <w:lang w:val="en-US" w:eastAsia="zh-CN"/>
        </w:rPr>
        <w:t>防腐挑战资料应至少包括测试评估依据、试验起止日期、试验样品、中和剂、试验菌种、试验结果、评估结论；对于豁免防腐挑战测试的情形，防腐挑战资料应至少包括相关情况的说明。</w:t>
      </w:r>
    </w:p>
    <w:p w14:paraId="1F7890A3">
      <w:pPr>
        <w:pStyle w:val="56"/>
        <w:rPr>
          <w:rFonts w:hint="eastAsia"/>
          <w:lang w:val="en-US" w:eastAsia="zh-CN"/>
        </w:rPr>
      </w:pPr>
    </w:p>
    <w:p w14:paraId="4CFA0066">
      <w:pPr>
        <w:pStyle w:val="56"/>
        <w:rPr>
          <w:rFonts w:hint="eastAsia"/>
          <w:lang w:val="en-US" w:eastAsia="zh-CN"/>
        </w:rPr>
      </w:pPr>
    </w:p>
    <w:p w14:paraId="6CC65C14">
      <w:pPr>
        <w:pStyle w:val="56"/>
        <w:rPr>
          <w:rFonts w:hint="eastAsia"/>
          <w:lang w:val="en-US" w:eastAsia="zh-CN"/>
        </w:rPr>
      </w:pPr>
    </w:p>
    <w:p w14:paraId="50CB65AD">
      <w:pPr>
        <w:pStyle w:val="56"/>
        <w:rPr>
          <w:rFonts w:hint="eastAsia"/>
          <w:lang w:val="en-US" w:eastAsia="zh-CN"/>
        </w:rPr>
      </w:pPr>
    </w:p>
    <w:p w14:paraId="11A0E0E2">
      <w:pPr>
        <w:pStyle w:val="56"/>
        <w:rPr>
          <w:rFonts w:hint="eastAsia"/>
          <w:lang w:val="en-US" w:eastAsia="zh-CN"/>
        </w:rPr>
      </w:pPr>
    </w:p>
    <w:p w14:paraId="2C476BC4">
      <w:pPr>
        <w:pStyle w:val="56"/>
        <w:rPr>
          <w:rFonts w:hint="eastAsia"/>
          <w:lang w:val="en-US" w:eastAsia="zh-CN"/>
        </w:rPr>
      </w:pPr>
    </w:p>
    <w:p w14:paraId="20964813">
      <w:pPr>
        <w:pStyle w:val="56"/>
        <w:rPr>
          <w:rFonts w:hint="eastAsia"/>
          <w:lang w:val="en-US" w:eastAsia="zh-CN"/>
        </w:rPr>
      </w:pPr>
    </w:p>
    <w:p w14:paraId="2DD31B3D">
      <w:pPr>
        <w:pStyle w:val="56"/>
        <w:rPr>
          <w:rFonts w:hint="eastAsia"/>
          <w:lang w:val="en-US" w:eastAsia="zh-CN"/>
        </w:rPr>
      </w:pPr>
    </w:p>
    <w:p w14:paraId="197CF54B">
      <w:pPr>
        <w:pStyle w:val="56"/>
        <w:rPr>
          <w:rFonts w:hint="eastAsia"/>
          <w:lang w:val="en-US" w:eastAsia="zh-CN"/>
        </w:rPr>
      </w:pPr>
    </w:p>
    <w:p w14:paraId="0325F476">
      <w:pPr>
        <w:pStyle w:val="56"/>
        <w:rPr>
          <w:rFonts w:hint="eastAsia"/>
          <w:lang w:val="en-US" w:eastAsia="zh-CN"/>
        </w:rPr>
      </w:pPr>
    </w:p>
    <w:p w14:paraId="1A067272">
      <w:pPr>
        <w:pStyle w:val="56"/>
        <w:rPr>
          <w:rFonts w:hint="eastAsia"/>
          <w:lang w:val="en-US" w:eastAsia="zh-CN"/>
        </w:rPr>
      </w:pPr>
    </w:p>
    <w:p w14:paraId="3BFFFEB8">
      <w:pPr>
        <w:pStyle w:val="56"/>
        <w:ind w:left="0" w:leftChars="0" w:firstLine="0" w:firstLineChars="0"/>
        <w:rPr>
          <w:rFonts w:hint="eastAsia"/>
          <w:lang w:val="en-US" w:eastAsia="zh-CN"/>
        </w:rPr>
      </w:pPr>
    </w:p>
    <w:p w14:paraId="403727A5">
      <w:pPr>
        <w:pStyle w:val="56"/>
        <w:ind w:left="0" w:leftChars="0" w:firstLine="0" w:firstLineChars="0"/>
        <w:rPr>
          <w:rFonts w:hint="eastAsia"/>
          <w:lang w:val="en-US" w:eastAsia="zh-CN"/>
        </w:rPr>
      </w:pPr>
    </w:p>
    <w:p w14:paraId="23365F59">
      <w:pPr>
        <w:pStyle w:val="56"/>
        <w:rPr>
          <w:rFonts w:hint="eastAsia"/>
          <w:lang w:val="en-US" w:eastAsia="zh-CN"/>
        </w:rPr>
      </w:pPr>
    </w:p>
    <w:p w14:paraId="2F159751">
      <w:pPr>
        <w:pStyle w:val="56"/>
        <w:rPr>
          <w:rFonts w:hint="eastAsia"/>
          <w:lang w:val="en-US" w:eastAsia="zh-CN"/>
        </w:rPr>
      </w:pPr>
    </w:p>
    <w:p w14:paraId="601CB6E6">
      <w:pPr>
        <w:pStyle w:val="56"/>
        <w:rPr>
          <w:rFonts w:hint="eastAsia"/>
          <w:lang w:val="en-US" w:eastAsia="zh-CN"/>
        </w:rPr>
      </w:pPr>
    </w:p>
    <w:p w14:paraId="218E1F39">
      <w:pPr>
        <w:pStyle w:val="174"/>
        <w:numPr>
          <w:ilvl w:val="0"/>
          <w:numId w:val="0"/>
        </w:numPr>
        <w:ind w:firstLine="420" w:firstLineChars="200"/>
        <w:rPr>
          <w:rFonts w:hint="eastAsia"/>
          <w:lang w:val="en-US" w:eastAsia="zh-CN"/>
        </w:rPr>
      </w:pPr>
    </w:p>
    <w:p w14:paraId="6ADCF1F9">
      <w:pPr>
        <w:pStyle w:val="56"/>
        <w:rPr>
          <w:rFonts w:hint="eastAsia" w:ascii="宋体" w:hAnsi="宋体" w:eastAsia="宋体" w:cs="宋体"/>
          <w:i w:val="0"/>
          <w:iCs w:val="0"/>
          <w:caps w:val="0"/>
          <w:color w:val="333333"/>
          <w:spacing w:val="0"/>
          <w:sz w:val="18"/>
          <w:szCs w:val="18"/>
          <w:shd w:val="clear" w:fill="FFFFFF"/>
          <w:lang w:val="en-US" w:eastAsia="zh-CN"/>
        </w:rPr>
      </w:pPr>
    </w:p>
    <w:p w14:paraId="546446F9">
      <w:pPr>
        <w:pStyle w:val="76"/>
        <w:spacing w:after="120"/>
      </w:pPr>
      <w:r>
        <w:br w:type="textWrapping"/>
      </w:r>
      <w:r>
        <w:rPr>
          <w:rFonts w:hint="eastAsia"/>
        </w:rPr>
        <w:t>（</w:t>
      </w:r>
      <w:r>
        <w:rPr>
          <w:rFonts w:hint="eastAsia"/>
          <w:lang w:eastAsia="zh-CN"/>
        </w:rPr>
        <w:t>资料性</w:t>
      </w:r>
      <w:r>
        <w:rPr>
          <w:rFonts w:hint="eastAsia"/>
        </w:rPr>
        <w:t>）</w:t>
      </w:r>
      <w:r>
        <w:br w:type="textWrapping"/>
      </w:r>
      <w:r>
        <w:rPr>
          <w:rFonts w:hint="eastAsia"/>
        </w:rPr>
        <w:t>产品稳定性测试</w:t>
      </w:r>
    </w:p>
    <w:p w14:paraId="707AF582">
      <w:pPr>
        <w:pStyle w:val="105"/>
        <w:numPr>
          <w:ilvl w:val="2"/>
          <w:numId w:val="0"/>
        </w:numPr>
        <w:spacing w:before="120" w:after="120"/>
        <w:ind w:leftChars="0"/>
        <w:rPr>
          <w:rFonts w:hint="default"/>
          <w:lang w:val="en-US"/>
        </w:rPr>
      </w:pPr>
      <w:r>
        <w:rPr>
          <w:rFonts w:hint="eastAsia" w:hAnsi="黑体" w:cs="黑体"/>
          <w:sz w:val="21"/>
          <w:szCs w:val="21"/>
          <w:lang w:val="en-US" w:eastAsia="zh-CN"/>
        </w:rPr>
        <w:t>E.1  总体要求</w:t>
      </w:r>
    </w:p>
    <w:p w14:paraId="03CE5193">
      <w:pPr>
        <w:pStyle w:val="56"/>
        <w:rPr>
          <w:rFonts w:hint="eastAsia"/>
          <w:lang w:val="en-US" w:eastAsia="zh-CN"/>
        </w:rPr>
      </w:pPr>
      <w:r>
        <w:rPr>
          <w:rFonts w:hint="eastAsia"/>
          <w:lang w:val="en-US" w:eastAsia="zh-CN"/>
        </w:rPr>
        <w:t>安全评估报告中应附产品稳定性测试报告和/或产品稳定性评估结论。化妆品稳定性评价目的是考察化妆品在一定温度、湿度等条件下随时间变化的规律，影响因素试验、加速试验、长期试验时间由备案人根据化妆品特性、包装材料等因素确定。应设置多个试验时间点研究化妆品的质量变化，时间点的设置应依据产品形态特点及稳定性趋势评价要求等而设置。化妆品备案人可在加速试验结束后提交备案申请，长期试验报告企业存档。</w:t>
      </w:r>
    </w:p>
    <w:p w14:paraId="094EFC66">
      <w:pPr>
        <w:pStyle w:val="56"/>
        <w:rPr>
          <w:rFonts w:hint="eastAsia"/>
          <w:lang w:val="en-US" w:eastAsia="zh-CN"/>
        </w:rPr>
      </w:pPr>
      <w:r>
        <w:rPr>
          <w:rFonts w:hint="eastAsia"/>
          <w:lang w:val="en-US" w:eastAsia="zh-CN"/>
        </w:rPr>
        <w:t>对配方体系近似、包装材质相同的化妆品，可根据已有的资料和实验数据对稳定性开展评估工作，但应阐明理由，说明情况。</w:t>
      </w:r>
    </w:p>
    <w:p w14:paraId="1589535A">
      <w:pPr>
        <w:pStyle w:val="105"/>
        <w:numPr>
          <w:ilvl w:val="2"/>
          <w:numId w:val="0"/>
        </w:numPr>
        <w:spacing w:before="120" w:after="120"/>
        <w:ind w:leftChars="0"/>
        <w:rPr>
          <w:rFonts w:hint="default"/>
          <w:lang w:val="en-US"/>
        </w:rPr>
      </w:pPr>
      <w:r>
        <w:rPr>
          <w:rFonts w:hint="eastAsia" w:hAnsi="黑体" w:cs="黑体"/>
          <w:sz w:val="21"/>
          <w:szCs w:val="21"/>
          <w:lang w:val="en-US" w:eastAsia="zh-CN"/>
        </w:rPr>
        <w:t>E.2  测试方法</w:t>
      </w:r>
    </w:p>
    <w:p w14:paraId="31137A28">
      <w:pPr>
        <w:pStyle w:val="56"/>
        <w:rPr>
          <w:rFonts w:hint="eastAsia"/>
          <w:lang w:val="en-US" w:eastAsia="zh-CN"/>
        </w:rPr>
      </w:pPr>
      <w:r>
        <w:rPr>
          <w:rFonts w:hint="eastAsia"/>
          <w:lang w:val="en-US" w:eastAsia="zh-CN"/>
        </w:rPr>
        <w:t>稳定性试验项目包括但不限于颜色、性状、气味、耐寒、耐热、pH值、离心、振动试验等，可参考以下方法进行：</w:t>
      </w:r>
    </w:p>
    <w:p w14:paraId="22996D11">
      <w:pPr>
        <w:pStyle w:val="174"/>
        <w:numPr>
          <w:ilvl w:val="0"/>
          <w:numId w:val="38"/>
        </w:numPr>
      </w:pPr>
      <w:r>
        <w:t>影响因素试验</w:t>
      </w:r>
      <w:r>
        <w:rPr>
          <w:rFonts w:hint="eastAsia"/>
          <w:lang w:eastAsia="zh-CN"/>
        </w:rPr>
        <w:t>：</w:t>
      </w:r>
      <w:r>
        <w:rPr>
          <w:rFonts w:hint="eastAsia"/>
          <w:lang w:val="en-US" w:eastAsia="zh-CN"/>
        </w:rPr>
        <w:t>条件</w:t>
      </w:r>
      <w:r>
        <w:t>包括但不限于高温试验、高湿试验、光照试验、冻融试验等</w:t>
      </w:r>
      <w:r>
        <w:rPr>
          <w:rFonts w:hint="eastAsia"/>
        </w:rPr>
        <w:t>。根据化妆品特性、包装材料、贮存条件及不同的气候条件等因素综合决定是否开展及开展的影响因素试验种类，确定试验条件，</w:t>
      </w:r>
      <w:r>
        <w:rPr>
          <w:rFonts w:hint="eastAsia"/>
          <w:lang w:eastAsia="zh-CN"/>
        </w:rPr>
        <w:t>应</w:t>
      </w:r>
      <w:r>
        <w:rPr>
          <w:rFonts w:hint="eastAsia"/>
        </w:rPr>
        <w:t>提供试验条件设置依据、考察时间确定依据及相关数据材料</w:t>
      </w:r>
      <w:r>
        <w:rPr>
          <w:rFonts w:hint="eastAsia"/>
          <w:lang w:eastAsia="zh-CN"/>
        </w:rPr>
        <w:t>。</w:t>
      </w:r>
    </w:p>
    <w:p w14:paraId="7E3A7E4A">
      <w:pPr>
        <w:pStyle w:val="174"/>
      </w:pPr>
      <w:r>
        <w:rPr>
          <w:rFonts w:hint="eastAsia"/>
        </w:rPr>
        <w:t>加速试验</w:t>
      </w:r>
      <w:r>
        <w:rPr>
          <w:rFonts w:hint="eastAsia"/>
          <w:lang w:eastAsia="zh-CN"/>
        </w:rPr>
        <w:t>：</w:t>
      </w:r>
      <w:r>
        <w:rPr>
          <w:rFonts w:hint="eastAsia"/>
        </w:rPr>
        <w:t>条件根据化妆品特性、包装材料等因素确定，</w:t>
      </w:r>
      <w:r>
        <w:rPr>
          <w:rFonts w:hint="eastAsia"/>
          <w:lang w:eastAsia="zh-CN"/>
        </w:rPr>
        <w:t>应</w:t>
      </w:r>
      <w:r>
        <w:rPr>
          <w:rFonts w:hint="eastAsia"/>
        </w:rPr>
        <w:t>提供加速试验条件设置依据、考察时间确定依据及相关数据材料。加速试验需设置多个试验时间点研究化妆品的质量变化，时间点可根据化妆品特性及试验结果科学设计</w:t>
      </w:r>
      <w:r>
        <w:rPr>
          <w:rFonts w:hint="eastAsia"/>
          <w:lang w:eastAsia="zh-CN"/>
        </w:rPr>
        <w:t>。</w:t>
      </w:r>
    </w:p>
    <w:p w14:paraId="41D696B2">
      <w:pPr>
        <w:pStyle w:val="174"/>
      </w:pPr>
      <w:r>
        <w:rPr>
          <w:rFonts w:hint="eastAsia"/>
          <w:lang w:val="en-US" w:eastAsia="zh-CN"/>
        </w:rPr>
        <w:t>长期试验：条件根据化妆品特性、包装材料等因素确定，应提供长期试验条件设置依据、考察时间确定依据及相关数据材料。长期试验需设置多个试验时间点研究化妆品的质量变化，时间点可根据化妆品特性及试验结果科学设计。</w:t>
      </w:r>
    </w:p>
    <w:p w14:paraId="7B5153BF">
      <w:pPr>
        <w:pStyle w:val="105"/>
        <w:numPr>
          <w:ilvl w:val="2"/>
          <w:numId w:val="0"/>
        </w:numPr>
        <w:spacing w:before="120" w:after="120"/>
        <w:ind w:leftChars="0"/>
        <w:rPr>
          <w:rFonts w:hint="default"/>
          <w:lang w:val="en-US"/>
        </w:rPr>
      </w:pPr>
      <w:r>
        <w:rPr>
          <w:rFonts w:hint="eastAsia" w:hAnsi="黑体" w:cs="黑体"/>
          <w:sz w:val="21"/>
          <w:szCs w:val="21"/>
          <w:lang w:val="en-US" w:eastAsia="zh-CN"/>
        </w:rPr>
        <w:t>E.3  资料要求</w:t>
      </w:r>
    </w:p>
    <w:p w14:paraId="08EDD213">
      <w:pPr>
        <w:pStyle w:val="174"/>
        <w:numPr>
          <w:ilvl w:val="0"/>
          <w:numId w:val="0"/>
        </w:numPr>
        <w:ind w:firstLine="420" w:firstLineChars="200"/>
        <w:rPr>
          <w:rFonts w:hint="eastAsia"/>
        </w:rPr>
      </w:pPr>
      <w:r>
        <w:rPr>
          <w:rFonts w:hint="eastAsia"/>
        </w:rPr>
        <w:t>产品稳定性资料应至少包括测试评估依据、试验起止日期、试验样品、试验条件、考察参数、测试时点、试验结果、评估结论。</w:t>
      </w:r>
    </w:p>
    <w:p w14:paraId="4D109F35">
      <w:pPr>
        <w:pStyle w:val="174"/>
        <w:numPr>
          <w:ilvl w:val="0"/>
          <w:numId w:val="0"/>
        </w:numPr>
        <w:ind w:firstLine="420" w:firstLineChars="200"/>
        <w:rPr>
          <w:rFonts w:hint="eastAsia"/>
        </w:rPr>
      </w:pPr>
    </w:p>
    <w:p w14:paraId="3DA34AA8">
      <w:pPr>
        <w:pStyle w:val="174"/>
        <w:numPr>
          <w:ilvl w:val="0"/>
          <w:numId w:val="0"/>
        </w:numPr>
        <w:ind w:firstLine="420" w:firstLineChars="200"/>
        <w:rPr>
          <w:rFonts w:hint="eastAsia"/>
        </w:rPr>
      </w:pPr>
    </w:p>
    <w:p w14:paraId="4180CE69">
      <w:pPr>
        <w:pStyle w:val="174"/>
        <w:numPr>
          <w:ilvl w:val="0"/>
          <w:numId w:val="0"/>
        </w:numPr>
        <w:ind w:firstLine="420" w:firstLineChars="200"/>
        <w:rPr>
          <w:rFonts w:hint="eastAsia"/>
        </w:rPr>
      </w:pPr>
    </w:p>
    <w:p w14:paraId="1B8AC9C5">
      <w:pPr>
        <w:pStyle w:val="174"/>
        <w:numPr>
          <w:ilvl w:val="0"/>
          <w:numId w:val="0"/>
        </w:numPr>
        <w:ind w:firstLine="420" w:firstLineChars="200"/>
        <w:rPr>
          <w:rFonts w:hint="eastAsia"/>
        </w:rPr>
      </w:pPr>
    </w:p>
    <w:p w14:paraId="6000A436">
      <w:pPr>
        <w:pStyle w:val="174"/>
        <w:numPr>
          <w:ilvl w:val="0"/>
          <w:numId w:val="0"/>
        </w:numPr>
        <w:ind w:firstLine="420" w:firstLineChars="200"/>
        <w:rPr>
          <w:rFonts w:hint="eastAsia"/>
        </w:rPr>
      </w:pPr>
    </w:p>
    <w:p w14:paraId="27D41B56">
      <w:pPr>
        <w:pStyle w:val="174"/>
        <w:numPr>
          <w:ilvl w:val="0"/>
          <w:numId w:val="0"/>
        </w:numPr>
        <w:ind w:firstLine="420" w:firstLineChars="200"/>
        <w:rPr>
          <w:rFonts w:hint="eastAsia"/>
        </w:rPr>
      </w:pPr>
    </w:p>
    <w:p w14:paraId="34F70406">
      <w:pPr>
        <w:pStyle w:val="174"/>
        <w:numPr>
          <w:ilvl w:val="0"/>
          <w:numId w:val="0"/>
        </w:numPr>
        <w:ind w:firstLine="420" w:firstLineChars="200"/>
        <w:rPr>
          <w:rFonts w:hint="eastAsia"/>
        </w:rPr>
      </w:pPr>
    </w:p>
    <w:p w14:paraId="01F75783">
      <w:pPr>
        <w:pStyle w:val="174"/>
        <w:numPr>
          <w:ilvl w:val="0"/>
          <w:numId w:val="0"/>
        </w:numPr>
        <w:ind w:firstLine="420" w:firstLineChars="200"/>
        <w:rPr>
          <w:rFonts w:hint="eastAsia"/>
        </w:rPr>
      </w:pPr>
    </w:p>
    <w:p w14:paraId="20073BAB">
      <w:pPr>
        <w:pStyle w:val="174"/>
        <w:numPr>
          <w:ilvl w:val="0"/>
          <w:numId w:val="0"/>
        </w:numPr>
        <w:ind w:firstLine="420" w:firstLineChars="200"/>
        <w:rPr>
          <w:rFonts w:hint="eastAsia"/>
        </w:rPr>
      </w:pPr>
    </w:p>
    <w:p w14:paraId="4E76A581">
      <w:pPr>
        <w:pStyle w:val="174"/>
        <w:numPr>
          <w:ilvl w:val="0"/>
          <w:numId w:val="0"/>
        </w:numPr>
        <w:ind w:firstLine="420" w:firstLineChars="200"/>
        <w:rPr>
          <w:rFonts w:hint="eastAsia"/>
        </w:rPr>
      </w:pPr>
    </w:p>
    <w:p w14:paraId="73377358">
      <w:pPr>
        <w:pStyle w:val="174"/>
        <w:numPr>
          <w:ilvl w:val="0"/>
          <w:numId w:val="0"/>
        </w:numPr>
        <w:ind w:firstLine="420" w:firstLineChars="200"/>
        <w:rPr>
          <w:rFonts w:hint="eastAsia"/>
        </w:rPr>
      </w:pPr>
    </w:p>
    <w:p w14:paraId="563C237F">
      <w:pPr>
        <w:pStyle w:val="174"/>
        <w:numPr>
          <w:ilvl w:val="0"/>
          <w:numId w:val="0"/>
        </w:numPr>
        <w:ind w:firstLine="420" w:firstLineChars="200"/>
        <w:rPr>
          <w:rFonts w:hint="eastAsia"/>
        </w:rPr>
      </w:pPr>
    </w:p>
    <w:p w14:paraId="64A41139">
      <w:pPr>
        <w:pStyle w:val="174"/>
        <w:numPr>
          <w:ilvl w:val="0"/>
          <w:numId w:val="0"/>
        </w:numPr>
        <w:ind w:firstLine="420" w:firstLineChars="200"/>
        <w:rPr>
          <w:rFonts w:hint="eastAsia"/>
        </w:rPr>
      </w:pPr>
    </w:p>
    <w:p w14:paraId="256C56ED">
      <w:pPr>
        <w:pStyle w:val="174"/>
        <w:numPr>
          <w:ilvl w:val="0"/>
          <w:numId w:val="0"/>
        </w:numPr>
        <w:ind w:firstLine="420" w:firstLineChars="200"/>
        <w:rPr>
          <w:rFonts w:hint="eastAsia"/>
        </w:rPr>
      </w:pPr>
    </w:p>
    <w:p w14:paraId="262CDA43">
      <w:pPr>
        <w:pStyle w:val="174"/>
        <w:numPr>
          <w:ilvl w:val="0"/>
          <w:numId w:val="0"/>
        </w:numPr>
        <w:ind w:firstLine="420" w:firstLineChars="200"/>
        <w:rPr>
          <w:rFonts w:hint="eastAsia"/>
        </w:rPr>
      </w:pPr>
    </w:p>
    <w:p w14:paraId="555F5B9F">
      <w:pPr>
        <w:pStyle w:val="174"/>
        <w:numPr>
          <w:ilvl w:val="0"/>
          <w:numId w:val="0"/>
        </w:numPr>
        <w:ind w:firstLine="420" w:firstLineChars="200"/>
        <w:rPr>
          <w:rFonts w:hint="eastAsia"/>
        </w:rPr>
      </w:pPr>
    </w:p>
    <w:p w14:paraId="6CCC4C66">
      <w:pPr>
        <w:pStyle w:val="174"/>
        <w:numPr>
          <w:ilvl w:val="0"/>
          <w:numId w:val="0"/>
        </w:numPr>
        <w:rPr>
          <w:rFonts w:hint="eastAsia"/>
        </w:rPr>
      </w:pPr>
    </w:p>
    <w:p w14:paraId="6F43BBA0">
      <w:pPr>
        <w:pStyle w:val="174"/>
        <w:numPr>
          <w:ilvl w:val="0"/>
          <w:numId w:val="0"/>
        </w:numPr>
        <w:ind w:firstLine="420" w:firstLineChars="200"/>
        <w:rPr>
          <w:rFonts w:hint="eastAsia"/>
        </w:rPr>
      </w:pPr>
    </w:p>
    <w:p w14:paraId="66233735">
      <w:pPr>
        <w:pStyle w:val="76"/>
        <w:spacing w:after="120"/>
      </w:pPr>
      <w:r>
        <w:br w:type="textWrapping"/>
      </w:r>
      <w:r>
        <w:rPr>
          <w:rFonts w:hint="eastAsia"/>
        </w:rPr>
        <w:t>（</w:t>
      </w:r>
      <w:r>
        <w:rPr>
          <w:rFonts w:hint="eastAsia"/>
          <w:lang w:eastAsia="zh-CN"/>
        </w:rPr>
        <w:t>资料性</w:t>
      </w:r>
      <w:r>
        <w:rPr>
          <w:rFonts w:hint="eastAsia"/>
        </w:rPr>
        <w:t>）</w:t>
      </w:r>
      <w:r>
        <w:br w:type="textWrapping"/>
      </w:r>
      <w:r>
        <w:rPr>
          <w:rFonts w:hint="eastAsia"/>
        </w:rPr>
        <w:t>包材相容性测试</w:t>
      </w:r>
    </w:p>
    <w:p w14:paraId="125E7CAE">
      <w:pPr>
        <w:pStyle w:val="105"/>
        <w:numPr>
          <w:ilvl w:val="2"/>
          <w:numId w:val="0"/>
        </w:numPr>
        <w:spacing w:before="120" w:after="120"/>
        <w:ind w:leftChars="0"/>
        <w:rPr>
          <w:rFonts w:hint="default"/>
          <w:lang w:val="en-US"/>
        </w:rPr>
      </w:pPr>
      <w:r>
        <w:rPr>
          <w:rFonts w:hint="eastAsia" w:hAnsi="黑体" w:cs="黑体"/>
          <w:sz w:val="21"/>
          <w:szCs w:val="21"/>
          <w:lang w:val="en-US" w:eastAsia="zh-CN"/>
        </w:rPr>
        <w:t>F.1  总体要求</w:t>
      </w:r>
    </w:p>
    <w:p w14:paraId="2B518710">
      <w:pPr>
        <w:pStyle w:val="56"/>
        <w:ind w:left="0" w:leftChars="0" w:firstLine="0" w:firstLineChars="0"/>
        <w:rPr>
          <w:rFonts w:hint="eastAsia"/>
          <w:lang w:val="en-US" w:eastAsia="zh-CN"/>
        </w:rPr>
      </w:pPr>
      <w:r>
        <w:rPr>
          <w:rFonts w:hint="eastAsia" w:ascii="黑体" w:hAnsi="黑体" w:eastAsia="黑体" w:cs="黑体"/>
          <w:lang w:val="en-US" w:eastAsia="zh-CN"/>
        </w:rPr>
        <w:t xml:space="preserve">F.1.1 </w:t>
      </w:r>
      <w:r>
        <w:rPr>
          <w:rFonts w:hint="eastAsia"/>
          <w:lang w:val="en-US" w:eastAsia="zh-CN"/>
        </w:rPr>
        <w:t xml:space="preserve"> 安全评估报告中应附产品与包材相容性测试报告和/或评估结论。包材相容性评估资料，包括但不限于选择合适的模拟液对包材开展的浸出物研究报告，化妆品产品历史安全性数据或报告，根据食品、药品或自建的方法对化妆品的包材已开展的相容性研究报告，基于供应商提供的数据或声明或质量控制报告，以及化妆品稳定性实验结果综合评估化妆品安全性报告等。备案人可采用其中一种方法或多种方式，评估化妆品与包材的相容性。</w:t>
      </w:r>
    </w:p>
    <w:p w14:paraId="4D9667D5">
      <w:pPr>
        <w:pStyle w:val="56"/>
        <w:ind w:left="0" w:leftChars="0" w:firstLine="0" w:firstLineChars="0"/>
        <w:rPr>
          <w:rFonts w:hint="eastAsia"/>
          <w:lang w:val="en-US" w:eastAsia="zh-CN"/>
        </w:rPr>
      </w:pPr>
      <w:r>
        <w:rPr>
          <w:rFonts w:hint="eastAsia" w:ascii="黑体" w:hAnsi="黑体" w:eastAsia="黑体" w:cs="黑体"/>
          <w:lang w:val="en-US" w:eastAsia="zh-CN"/>
        </w:rPr>
        <w:t xml:space="preserve">F.1.2  </w:t>
      </w:r>
      <w:r>
        <w:rPr>
          <w:rFonts w:hint="eastAsia"/>
          <w:lang w:val="en-US" w:eastAsia="zh-CN"/>
        </w:rPr>
        <w:t>对化妆品配方体系近似、与内容物直接接触的容器或载体包装材质相同且来源一致时，化妆品备案人可根据已有的资料和实验数据对相容性开展评估工作，但需阐明理由，说明情况。</w:t>
      </w:r>
    </w:p>
    <w:p w14:paraId="5E95DEAA">
      <w:pPr>
        <w:pStyle w:val="105"/>
        <w:numPr>
          <w:ilvl w:val="2"/>
          <w:numId w:val="0"/>
        </w:numPr>
        <w:spacing w:before="120" w:after="120"/>
        <w:ind w:leftChars="0"/>
        <w:rPr>
          <w:rFonts w:hint="default"/>
          <w:highlight w:val="none"/>
          <w:lang w:val="en-US"/>
        </w:rPr>
      </w:pPr>
      <w:r>
        <w:rPr>
          <w:rFonts w:hint="eastAsia" w:hAnsi="黑体" w:cs="黑体"/>
          <w:sz w:val="21"/>
          <w:szCs w:val="21"/>
          <w:lang w:val="en-US" w:eastAsia="zh-CN"/>
        </w:rPr>
        <w:t>F.2  测试方法</w:t>
      </w:r>
    </w:p>
    <w:p w14:paraId="67A82317">
      <w:pPr>
        <w:pStyle w:val="174"/>
        <w:numPr>
          <w:ilvl w:val="0"/>
          <w:numId w:val="0"/>
        </w:numPr>
        <w:rPr>
          <w:rFonts w:hint="eastAsia"/>
          <w:highlight w:val="none"/>
          <w:lang w:val="en-US" w:eastAsia="zh-CN"/>
        </w:rPr>
      </w:pPr>
      <w:r>
        <w:rPr>
          <w:rFonts w:hint="eastAsia" w:ascii="黑体" w:hAnsi="黑体" w:eastAsia="黑体" w:cs="黑体"/>
          <w:highlight w:val="none"/>
          <w:lang w:val="en-US" w:eastAsia="zh-CN"/>
        </w:rPr>
        <w:t xml:space="preserve">F.2.1  </w:t>
      </w:r>
      <w:r>
        <w:rPr>
          <w:rFonts w:hint="eastAsia"/>
          <w:highlight w:val="none"/>
          <w:lang w:val="en-US" w:eastAsia="zh-CN"/>
        </w:rPr>
        <w:t>化妆品备案人可参考《化妆品与包材相容性测试评估技术指南》开展相关研究：</w:t>
      </w:r>
    </w:p>
    <w:p w14:paraId="011023B0">
      <w:pPr>
        <w:pStyle w:val="174"/>
        <w:numPr>
          <w:ilvl w:val="0"/>
          <w:numId w:val="0"/>
        </w:numPr>
        <w:rPr>
          <w:rFonts w:hint="eastAsia"/>
          <w:highlight w:val="none"/>
          <w:lang w:val="en-US" w:eastAsia="zh-CN"/>
        </w:rPr>
      </w:pPr>
      <w:r>
        <w:rPr>
          <w:rFonts w:hint="eastAsia" w:ascii="黑体" w:hAnsi="黑体" w:eastAsia="黑体" w:cs="黑体"/>
          <w:highlight w:val="none"/>
          <w:lang w:val="en-US" w:eastAsia="zh-CN"/>
        </w:rPr>
        <w:t xml:space="preserve">F.2.2  </w:t>
      </w:r>
      <w:r>
        <w:rPr>
          <w:rFonts w:hint="eastAsia"/>
          <w:highlight w:val="none"/>
          <w:lang w:val="en-US" w:eastAsia="zh-CN"/>
        </w:rPr>
        <w:t>提取试验：采用适宜的溶剂，对空白包材进行的试验研究，获得包材中的可提取物信息以明确迁移试验的目标浸出物。</w:t>
      </w:r>
    </w:p>
    <w:p w14:paraId="6812B8E8">
      <w:pPr>
        <w:pStyle w:val="174"/>
        <w:numPr>
          <w:ilvl w:val="0"/>
          <w:numId w:val="0"/>
        </w:numPr>
        <w:rPr>
          <w:rFonts w:hint="eastAsia"/>
          <w:lang w:val="en-US" w:eastAsia="zh-CN"/>
        </w:rPr>
      </w:pPr>
      <w:r>
        <w:rPr>
          <w:rFonts w:hint="eastAsia" w:ascii="黑体" w:hAnsi="黑体" w:eastAsia="黑体" w:cs="黑体"/>
          <w:highlight w:val="none"/>
          <w:lang w:val="en-US" w:eastAsia="zh-CN"/>
        </w:rPr>
        <w:t xml:space="preserve">F.2.3  </w:t>
      </w:r>
      <w:r>
        <w:rPr>
          <w:rFonts w:hint="eastAsia"/>
          <w:highlight w:val="none"/>
          <w:lang w:val="en-US" w:eastAsia="zh-CN"/>
        </w:rPr>
        <w:t>相互作用研究：包括迁移试验和吸附试验。迁移试验是根据预测的目标浸出物开展的研究，包括包材中的可提取物及其降解产物、包材与化妆品反应产生的产物等。必要时，</w:t>
      </w:r>
      <w:r>
        <w:rPr>
          <w:rFonts w:hint="eastAsia"/>
          <w:lang w:val="en-US" w:eastAsia="zh-CN"/>
        </w:rPr>
        <w:t>可选择开展吸附试验，以考察包材吸附对化妆品成分的影响。</w:t>
      </w:r>
    </w:p>
    <w:p w14:paraId="42FF8A62">
      <w:pPr>
        <w:pStyle w:val="105"/>
        <w:numPr>
          <w:ilvl w:val="2"/>
          <w:numId w:val="0"/>
        </w:numPr>
        <w:spacing w:before="120" w:after="120"/>
        <w:ind w:leftChars="0"/>
        <w:rPr>
          <w:rFonts w:hint="default"/>
          <w:lang w:val="en-US"/>
        </w:rPr>
      </w:pPr>
      <w:r>
        <w:rPr>
          <w:rFonts w:hint="eastAsia" w:hAnsi="黑体" w:cs="黑体"/>
          <w:sz w:val="21"/>
          <w:szCs w:val="21"/>
          <w:lang w:val="en-US" w:eastAsia="zh-CN"/>
        </w:rPr>
        <w:t>F.3  资料要求</w:t>
      </w:r>
    </w:p>
    <w:p w14:paraId="0522EB1C">
      <w:pPr>
        <w:pStyle w:val="174"/>
        <w:numPr>
          <w:ilvl w:val="0"/>
          <w:numId w:val="0"/>
        </w:numPr>
        <w:ind w:firstLine="420" w:firstLineChars="200"/>
        <w:rPr>
          <w:rFonts w:hint="eastAsia"/>
          <w:lang w:val="en-US" w:eastAsia="zh-CN"/>
        </w:rPr>
      </w:pPr>
      <w:r>
        <w:rPr>
          <w:rFonts w:hint="eastAsia"/>
          <w:lang w:val="en-US" w:eastAsia="zh-CN"/>
        </w:rPr>
        <w:t>产品与包材相容性资料应至少包括测试评估依据、试验起止日期、试验样品、试验条件、考察参数、测试时点、试验结果、评估结论。</w:t>
      </w:r>
    </w:p>
    <w:p w14:paraId="080678E4">
      <w:pPr>
        <w:pStyle w:val="174"/>
        <w:numPr>
          <w:ilvl w:val="0"/>
          <w:numId w:val="0"/>
        </w:numPr>
        <w:ind w:firstLine="420" w:firstLineChars="200"/>
        <w:rPr>
          <w:rFonts w:hint="eastAsia"/>
          <w:lang w:val="en-US" w:eastAsia="zh-CN"/>
        </w:rPr>
      </w:pPr>
    </w:p>
    <w:p w14:paraId="6310F5B9">
      <w:pPr>
        <w:pStyle w:val="174"/>
        <w:numPr>
          <w:ilvl w:val="0"/>
          <w:numId w:val="0"/>
        </w:numPr>
        <w:ind w:firstLine="420" w:firstLineChars="200"/>
        <w:rPr>
          <w:rFonts w:hint="eastAsia"/>
          <w:lang w:val="en-US" w:eastAsia="zh-CN"/>
        </w:rPr>
      </w:pPr>
    </w:p>
    <w:p w14:paraId="266BE90C">
      <w:pPr>
        <w:pStyle w:val="174"/>
        <w:numPr>
          <w:ilvl w:val="0"/>
          <w:numId w:val="0"/>
        </w:numPr>
        <w:ind w:firstLine="420" w:firstLineChars="200"/>
        <w:rPr>
          <w:rFonts w:hint="eastAsia"/>
          <w:lang w:val="en-US" w:eastAsia="zh-CN"/>
        </w:rPr>
      </w:pPr>
    </w:p>
    <w:p w14:paraId="5987E7AF">
      <w:pPr>
        <w:pStyle w:val="174"/>
        <w:numPr>
          <w:ilvl w:val="0"/>
          <w:numId w:val="0"/>
        </w:numPr>
        <w:ind w:firstLine="420" w:firstLineChars="200"/>
        <w:rPr>
          <w:rFonts w:hint="eastAsia"/>
          <w:lang w:val="en-US" w:eastAsia="zh-CN"/>
        </w:rPr>
      </w:pPr>
    </w:p>
    <w:p w14:paraId="1A60C514">
      <w:pPr>
        <w:pStyle w:val="174"/>
        <w:numPr>
          <w:ilvl w:val="0"/>
          <w:numId w:val="0"/>
        </w:numPr>
        <w:ind w:firstLine="420" w:firstLineChars="200"/>
        <w:rPr>
          <w:rFonts w:hint="eastAsia"/>
          <w:lang w:val="en-US" w:eastAsia="zh-CN"/>
        </w:rPr>
      </w:pPr>
    </w:p>
    <w:p w14:paraId="21A06746">
      <w:pPr>
        <w:pStyle w:val="174"/>
        <w:numPr>
          <w:ilvl w:val="0"/>
          <w:numId w:val="0"/>
        </w:numPr>
        <w:ind w:firstLine="420" w:firstLineChars="200"/>
        <w:rPr>
          <w:rFonts w:hint="eastAsia"/>
          <w:lang w:val="en-US" w:eastAsia="zh-CN"/>
        </w:rPr>
      </w:pPr>
    </w:p>
    <w:p w14:paraId="1D5BF42B">
      <w:pPr>
        <w:pStyle w:val="174"/>
        <w:numPr>
          <w:ilvl w:val="0"/>
          <w:numId w:val="0"/>
        </w:numPr>
        <w:ind w:firstLine="420" w:firstLineChars="200"/>
        <w:rPr>
          <w:rFonts w:hint="eastAsia"/>
          <w:lang w:val="en-US" w:eastAsia="zh-CN"/>
        </w:rPr>
      </w:pPr>
    </w:p>
    <w:p w14:paraId="43DDBED4">
      <w:pPr>
        <w:pStyle w:val="174"/>
        <w:numPr>
          <w:ilvl w:val="0"/>
          <w:numId w:val="0"/>
        </w:numPr>
        <w:ind w:firstLine="420" w:firstLineChars="200"/>
        <w:rPr>
          <w:rFonts w:hint="eastAsia"/>
          <w:lang w:val="en-US" w:eastAsia="zh-CN"/>
        </w:rPr>
      </w:pPr>
    </w:p>
    <w:p w14:paraId="4518AC3D">
      <w:pPr>
        <w:pStyle w:val="174"/>
        <w:numPr>
          <w:ilvl w:val="0"/>
          <w:numId w:val="0"/>
        </w:numPr>
        <w:ind w:firstLine="420" w:firstLineChars="200"/>
        <w:rPr>
          <w:rFonts w:hint="eastAsia"/>
          <w:lang w:val="en-US" w:eastAsia="zh-CN"/>
        </w:rPr>
      </w:pPr>
    </w:p>
    <w:p w14:paraId="41B6A99A">
      <w:pPr>
        <w:pStyle w:val="174"/>
        <w:numPr>
          <w:ilvl w:val="0"/>
          <w:numId w:val="0"/>
        </w:numPr>
        <w:ind w:firstLine="420" w:firstLineChars="200"/>
        <w:rPr>
          <w:rFonts w:hint="eastAsia"/>
          <w:lang w:val="en-US" w:eastAsia="zh-CN"/>
        </w:rPr>
      </w:pPr>
    </w:p>
    <w:p w14:paraId="21C0B9F5">
      <w:pPr>
        <w:pStyle w:val="174"/>
        <w:numPr>
          <w:ilvl w:val="0"/>
          <w:numId w:val="0"/>
        </w:numPr>
        <w:ind w:firstLine="420" w:firstLineChars="200"/>
        <w:rPr>
          <w:rFonts w:hint="eastAsia"/>
          <w:lang w:val="en-US" w:eastAsia="zh-CN"/>
        </w:rPr>
      </w:pPr>
    </w:p>
    <w:p w14:paraId="6A693EC8">
      <w:pPr>
        <w:pStyle w:val="174"/>
        <w:numPr>
          <w:ilvl w:val="0"/>
          <w:numId w:val="0"/>
        </w:numPr>
        <w:ind w:firstLine="420" w:firstLineChars="200"/>
        <w:rPr>
          <w:rFonts w:hint="eastAsia"/>
          <w:lang w:val="en-US" w:eastAsia="zh-CN"/>
        </w:rPr>
      </w:pPr>
    </w:p>
    <w:p w14:paraId="6391654C">
      <w:pPr>
        <w:pStyle w:val="174"/>
        <w:numPr>
          <w:ilvl w:val="0"/>
          <w:numId w:val="0"/>
        </w:numPr>
        <w:ind w:firstLine="420" w:firstLineChars="200"/>
        <w:rPr>
          <w:rFonts w:hint="eastAsia"/>
          <w:lang w:val="en-US" w:eastAsia="zh-CN"/>
        </w:rPr>
      </w:pPr>
    </w:p>
    <w:p w14:paraId="37E68224">
      <w:pPr>
        <w:pStyle w:val="174"/>
        <w:numPr>
          <w:ilvl w:val="0"/>
          <w:numId w:val="0"/>
        </w:numPr>
        <w:ind w:firstLine="420" w:firstLineChars="200"/>
        <w:rPr>
          <w:rFonts w:hint="eastAsia"/>
          <w:lang w:val="en-US" w:eastAsia="zh-CN"/>
        </w:rPr>
      </w:pPr>
    </w:p>
    <w:p w14:paraId="0041FB52">
      <w:pPr>
        <w:pStyle w:val="174"/>
        <w:numPr>
          <w:ilvl w:val="0"/>
          <w:numId w:val="0"/>
        </w:numPr>
        <w:ind w:firstLine="420" w:firstLineChars="200"/>
        <w:rPr>
          <w:rFonts w:hint="eastAsia"/>
          <w:lang w:val="en-US" w:eastAsia="zh-CN"/>
        </w:rPr>
      </w:pPr>
    </w:p>
    <w:p w14:paraId="391258B4">
      <w:pPr>
        <w:pStyle w:val="174"/>
        <w:numPr>
          <w:ilvl w:val="0"/>
          <w:numId w:val="0"/>
        </w:numPr>
        <w:ind w:firstLine="420" w:firstLineChars="200"/>
        <w:rPr>
          <w:rFonts w:hint="eastAsia"/>
          <w:lang w:val="en-US" w:eastAsia="zh-CN"/>
        </w:rPr>
      </w:pPr>
    </w:p>
    <w:p w14:paraId="50901391">
      <w:pPr>
        <w:pStyle w:val="174"/>
        <w:numPr>
          <w:ilvl w:val="0"/>
          <w:numId w:val="0"/>
        </w:numPr>
        <w:ind w:firstLine="420" w:firstLineChars="200"/>
        <w:rPr>
          <w:rFonts w:hint="eastAsia"/>
          <w:lang w:val="en-US" w:eastAsia="zh-CN"/>
        </w:rPr>
      </w:pPr>
    </w:p>
    <w:p w14:paraId="0742184B">
      <w:pPr>
        <w:pStyle w:val="174"/>
        <w:numPr>
          <w:ilvl w:val="0"/>
          <w:numId w:val="0"/>
        </w:numPr>
        <w:ind w:firstLine="420" w:firstLineChars="200"/>
        <w:rPr>
          <w:rFonts w:hint="eastAsia"/>
          <w:lang w:val="en-US" w:eastAsia="zh-CN"/>
        </w:rPr>
      </w:pPr>
    </w:p>
    <w:p w14:paraId="6CCA2978">
      <w:pPr>
        <w:pStyle w:val="174"/>
        <w:numPr>
          <w:ilvl w:val="0"/>
          <w:numId w:val="0"/>
        </w:numPr>
        <w:ind w:firstLine="420" w:firstLineChars="200"/>
        <w:rPr>
          <w:rFonts w:hint="eastAsia"/>
          <w:lang w:val="en-US" w:eastAsia="zh-CN"/>
        </w:rPr>
      </w:pPr>
    </w:p>
    <w:p w14:paraId="1CC49396">
      <w:pPr>
        <w:pStyle w:val="174"/>
        <w:numPr>
          <w:ilvl w:val="0"/>
          <w:numId w:val="0"/>
        </w:numPr>
        <w:ind w:firstLine="420" w:firstLineChars="200"/>
        <w:rPr>
          <w:rFonts w:hint="eastAsia"/>
          <w:lang w:val="en-US" w:eastAsia="zh-CN"/>
        </w:rPr>
      </w:pPr>
    </w:p>
    <w:p w14:paraId="24F48BA7">
      <w:pPr>
        <w:pStyle w:val="174"/>
        <w:numPr>
          <w:ilvl w:val="0"/>
          <w:numId w:val="0"/>
        </w:numPr>
        <w:ind w:firstLine="420" w:firstLineChars="200"/>
        <w:rPr>
          <w:rFonts w:hint="eastAsia"/>
          <w:lang w:val="en-US" w:eastAsia="zh-CN"/>
        </w:rPr>
      </w:pPr>
    </w:p>
    <w:p w14:paraId="0DEB7E7D">
      <w:pPr>
        <w:pStyle w:val="174"/>
        <w:numPr>
          <w:ilvl w:val="0"/>
          <w:numId w:val="0"/>
        </w:numPr>
        <w:ind w:firstLine="420" w:firstLineChars="200"/>
        <w:rPr>
          <w:rFonts w:hint="eastAsia"/>
          <w:lang w:val="en-US" w:eastAsia="zh-CN"/>
        </w:rPr>
      </w:pPr>
    </w:p>
    <w:p w14:paraId="60AB7666">
      <w:pPr>
        <w:pStyle w:val="174"/>
        <w:numPr>
          <w:ilvl w:val="0"/>
          <w:numId w:val="0"/>
        </w:numPr>
        <w:ind w:firstLine="420" w:firstLineChars="200"/>
        <w:rPr>
          <w:rFonts w:hint="eastAsia"/>
          <w:lang w:val="en-US" w:eastAsia="zh-CN"/>
        </w:rPr>
      </w:pPr>
    </w:p>
    <w:p w14:paraId="168C0296">
      <w:pPr>
        <w:pStyle w:val="174"/>
        <w:numPr>
          <w:ilvl w:val="0"/>
          <w:numId w:val="0"/>
        </w:numPr>
        <w:ind w:firstLine="420" w:firstLineChars="200"/>
        <w:rPr>
          <w:rFonts w:hint="eastAsia"/>
          <w:lang w:val="en-US" w:eastAsia="zh-CN"/>
        </w:rPr>
      </w:pPr>
    </w:p>
    <w:p w14:paraId="7F6EEECA">
      <w:pPr>
        <w:pStyle w:val="174"/>
        <w:numPr>
          <w:ilvl w:val="0"/>
          <w:numId w:val="0"/>
        </w:numPr>
        <w:ind w:firstLine="420" w:firstLineChars="200"/>
        <w:rPr>
          <w:rFonts w:hint="eastAsia"/>
          <w:lang w:val="en-US" w:eastAsia="zh-CN"/>
        </w:rPr>
      </w:pPr>
    </w:p>
    <w:p w14:paraId="06B394DC">
      <w:pPr>
        <w:pStyle w:val="63"/>
        <w:spacing w:after="120"/>
        <w:rPr>
          <w:rFonts w:hint="eastAsia"/>
          <w:spacing w:val="105"/>
          <w:lang w:val="en-US" w:eastAsia="zh-CN"/>
        </w:rPr>
      </w:pPr>
    </w:p>
    <w:p w14:paraId="2FE8A15D">
      <w:pPr>
        <w:pStyle w:val="63"/>
        <w:spacing w:after="120"/>
        <w:rPr>
          <w:rFonts w:hint="default" w:eastAsia="黑体"/>
          <w:lang w:val="en-US" w:eastAsia="zh-CN"/>
        </w:rPr>
      </w:pPr>
      <w:r>
        <w:rPr>
          <w:rFonts w:hint="eastAsia"/>
          <w:spacing w:val="105"/>
          <w:lang w:val="en-US" w:eastAsia="zh-CN"/>
        </w:rPr>
        <w:t>参考文献</w:t>
      </w:r>
    </w:p>
    <w:p w14:paraId="1DB305E9">
      <w:pPr>
        <w:pStyle w:val="56"/>
        <w:ind w:left="0" w:leftChars="0" w:firstLine="0" w:firstLineChars="0"/>
        <w:rPr>
          <w:rFonts w:hint="eastAsia" w:hAnsi="Times New Roman" w:cs="Times New Roman"/>
          <w:lang w:val="en-US" w:eastAsia="zh-CN"/>
        </w:rPr>
      </w:pPr>
    </w:p>
    <w:p w14:paraId="445C309D">
      <w:pPr>
        <w:pStyle w:val="56"/>
        <w:rPr>
          <w:rFonts w:hint="eastAsia" w:hAnsi="Times New Roman" w:eastAsia="宋体" w:cs="Times New Roman"/>
          <w:highlight w:val="none"/>
          <w:lang w:val="en-US" w:eastAsia="zh-CN"/>
        </w:rPr>
      </w:pPr>
      <w:r>
        <w:rPr>
          <w:rFonts w:hint="eastAsia" w:hAnsi="Times New Roman" w:cs="Times New Roman"/>
          <w:lang w:val="en-US" w:eastAsia="zh-CN"/>
        </w:rPr>
        <w:t>[1</w:t>
      </w:r>
      <w:r>
        <w:rPr>
          <w:rFonts w:hint="eastAsia" w:hAnsi="Times New Roman" w:cs="Times New Roman"/>
          <w:highlight w:val="none"/>
          <w:lang w:val="en-US" w:eastAsia="zh-CN"/>
        </w:rPr>
        <w:t xml:space="preserve">] </w:t>
      </w:r>
      <w:r>
        <w:rPr>
          <w:rFonts w:hint="eastAsia" w:hAnsi="Times New Roman" w:eastAsia="宋体" w:cs="Times New Roman"/>
          <w:highlight w:val="none"/>
          <w:lang w:val="en-US" w:eastAsia="zh-CN"/>
        </w:rPr>
        <w:t>化妆品注册备案管理办法</w:t>
      </w:r>
    </w:p>
    <w:p w14:paraId="15E6F7FA">
      <w:pPr>
        <w:pStyle w:val="56"/>
        <w:rPr>
          <w:rFonts w:hint="eastAsia" w:hAnsi="Times New Roman" w:eastAsia="宋体" w:cs="Times New Roman"/>
          <w:highlight w:val="none"/>
          <w:lang w:val="en-US" w:eastAsia="zh-CN"/>
        </w:rPr>
      </w:pPr>
      <w:r>
        <w:rPr>
          <w:rFonts w:hint="eastAsia" w:hAnsi="Times New Roman" w:cs="Times New Roman"/>
          <w:highlight w:val="none"/>
          <w:lang w:val="en-US" w:eastAsia="zh-CN"/>
        </w:rPr>
        <w:t xml:space="preserve">[2] </w:t>
      </w:r>
      <w:r>
        <w:rPr>
          <w:rFonts w:hint="eastAsia" w:hAnsi="Times New Roman" w:eastAsia="宋体" w:cs="Times New Roman"/>
          <w:highlight w:val="none"/>
          <w:lang w:val="en-US" w:eastAsia="zh-CN"/>
        </w:rPr>
        <w:t>化妆品注册备案资料管理规定</w:t>
      </w:r>
    </w:p>
    <w:p w14:paraId="6AACED68">
      <w:pPr>
        <w:pStyle w:val="56"/>
        <w:rPr>
          <w:rFonts w:hint="eastAsia" w:hAnsi="Times New Roman" w:eastAsia="宋体" w:cs="Times New Roman"/>
          <w:highlight w:val="none"/>
          <w:lang w:val="en-US" w:eastAsia="zh-CN"/>
        </w:rPr>
      </w:pPr>
      <w:r>
        <w:rPr>
          <w:rFonts w:hint="eastAsia" w:hAnsi="Times New Roman" w:cs="Times New Roman"/>
          <w:highlight w:val="none"/>
          <w:lang w:val="en-US" w:eastAsia="zh-CN"/>
        </w:rPr>
        <w:t xml:space="preserve">[3] </w:t>
      </w:r>
      <w:r>
        <w:rPr>
          <w:rFonts w:hint="eastAsia" w:hAnsi="Times New Roman" w:eastAsia="宋体" w:cs="Times New Roman"/>
          <w:highlight w:val="none"/>
          <w:lang w:val="en-US" w:eastAsia="zh-CN"/>
        </w:rPr>
        <w:t>化妆品安全评估资料提交指南</w:t>
      </w:r>
    </w:p>
    <w:p w14:paraId="6D77AAB3">
      <w:pPr>
        <w:pStyle w:val="56"/>
        <w:rPr>
          <w:rFonts w:hint="eastAsia" w:hAnsi="Times New Roman" w:eastAsia="宋体" w:cs="Times New Roman"/>
          <w:highlight w:val="none"/>
          <w:lang w:val="en-US" w:eastAsia="zh-CN"/>
        </w:rPr>
      </w:pPr>
      <w:r>
        <w:rPr>
          <w:rFonts w:hint="eastAsia" w:hAnsi="Times New Roman" w:cs="Times New Roman"/>
          <w:highlight w:val="none"/>
          <w:lang w:val="en-US" w:eastAsia="zh-CN"/>
        </w:rPr>
        <w:t xml:space="preserve">[4] </w:t>
      </w:r>
      <w:r>
        <w:rPr>
          <w:rFonts w:hint="eastAsia" w:hAnsi="Times New Roman" w:eastAsia="宋体" w:cs="Times New Roman"/>
          <w:highlight w:val="none"/>
          <w:lang w:val="en-US" w:eastAsia="zh-CN"/>
        </w:rPr>
        <w:t>毒理学关注阈值（TTC）方法应用技术指南</w:t>
      </w:r>
    </w:p>
    <w:p w14:paraId="03CDC9C9">
      <w:pPr>
        <w:pStyle w:val="56"/>
        <w:rPr>
          <w:rFonts w:hint="eastAsia" w:hAnsi="Times New Roman" w:eastAsia="宋体" w:cs="Times New Roman"/>
          <w:highlight w:val="none"/>
          <w:lang w:val="en-US" w:eastAsia="zh-CN"/>
        </w:rPr>
      </w:pPr>
      <w:r>
        <w:rPr>
          <w:rFonts w:hint="eastAsia" w:hAnsi="Times New Roman" w:cs="Times New Roman"/>
          <w:highlight w:val="none"/>
          <w:lang w:val="en-US" w:eastAsia="zh-CN"/>
        </w:rPr>
        <w:t xml:space="preserve">[5] </w:t>
      </w:r>
      <w:r>
        <w:rPr>
          <w:rFonts w:hint="eastAsia" w:hAnsi="Times New Roman" w:eastAsia="宋体" w:cs="Times New Roman"/>
          <w:highlight w:val="none"/>
          <w:lang w:val="en-US" w:eastAsia="zh-CN"/>
        </w:rPr>
        <w:t>交叉参照（Read-across）方法应用技术指南</w:t>
      </w:r>
    </w:p>
    <w:p w14:paraId="40A02BE6">
      <w:pPr>
        <w:pStyle w:val="56"/>
        <w:rPr>
          <w:rFonts w:hint="eastAsia" w:eastAsia="宋体"/>
          <w:highlight w:val="none"/>
          <w:lang w:val="en-US" w:eastAsia="zh-CN"/>
        </w:rPr>
      </w:pPr>
      <w:r>
        <w:rPr>
          <w:rFonts w:hint="eastAsia" w:hAnsi="Times New Roman" w:cs="Times New Roman"/>
          <w:highlight w:val="none"/>
          <w:lang w:val="en-US" w:eastAsia="zh-CN"/>
        </w:rPr>
        <w:t xml:space="preserve">[6] </w:t>
      </w:r>
      <w:r>
        <w:rPr>
          <w:rFonts w:hint="eastAsia" w:eastAsia="宋体"/>
          <w:highlight w:val="none"/>
          <w:lang w:val="en-US" w:eastAsia="zh-CN"/>
        </w:rPr>
        <w:t>欧盟化妆品及其成分安全性评估指南</w:t>
      </w:r>
    </w:p>
    <w:p w14:paraId="0C332CB1">
      <w:pPr>
        <w:pStyle w:val="56"/>
        <w:rPr>
          <w:rFonts w:hint="eastAsia" w:eastAsia="宋体"/>
          <w:highlight w:val="none"/>
          <w:lang w:val="en-US" w:eastAsia="zh-CN"/>
        </w:rPr>
      </w:pPr>
      <w:r>
        <w:rPr>
          <w:rFonts w:hint="eastAsia" w:hAnsi="Times New Roman" w:cs="Times New Roman"/>
          <w:highlight w:val="none"/>
          <w:lang w:val="en-US" w:eastAsia="zh-CN"/>
        </w:rPr>
        <w:t xml:space="preserve">[7] </w:t>
      </w:r>
      <w:r>
        <w:rPr>
          <w:rFonts w:hint="eastAsia"/>
          <w:highlight w:val="none"/>
          <w:lang w:val="en-US" w:eastAsia="zh-CN"/>
        </w:rPr>
        <w:t>化妆品与包材相容性测试评估技术指南</w:t>
      </w:r>
    </w:p>
    <w:bookmarkEnd w:id="51"/>
    <w:p w14:paraId="609CA2DB">
      <w:pPr>
        <w:pStyle w:val="56"/>
        <w:ind w:firstLine="420" w:firstLineChars="200"/>
        <w:jc w:val="both"/>
        <w:rPr>
          <w:rFonts w:hint="default" w:eastAsia="宋体"/>
          <w:highlight w:val="none"/>
          <w:lang w:val="en-US" w:eastAsia="zh-CN"/>
        </w:rPr>
      </w:pPr>
      <w:bookmarkStart w:id="53" w:name="BookMark8"/>
      <w:r>
        <w:rPr>
          <w:rFonts w:hint="eastAsia" w:hAnsi="Times New Roman" w:cs="Times New Roman"/>
          <w:highlight w:val="none"/>
          <w:lang w:val="en-US" w:eastAsia="zh-CN"/>
        </w:rPr>
        <w:t xml:space="preserve">[8] </w:t>
      </w:r>
      <w:r>
        <w:rPr>
          <w:rFonts w:hint="eastAsia"/>
          <w:highlight w:val="none"/>
        </w:rPr>
        <w:t>美国药典</w:t>
      </w:r>
      <w:r>
        <w:rPr>
          <w:rFonts w:hint="eastAsia"/>
          <w:highlight w:val="none"/>
          <w:lang w:val="en-US" w:eastAsia="zh-CN"/>
        </w:rPr>
        <w:t>-国家处方集</w:t>
      </w:r>
      <w:r>
        <w:rPr>
          <w:rFonts w:hint="eastAsia"/>
          <w:highlight w:val="none"/>
          <w:lang w:eastAsia="zh-CN"/>
        </w:rPr>
        <w:t>USP43-NF38</w:t>
      </w:r>
      <w:r>
        <w:rPr>
          <w:rFonts w:hint="eastAsia"/>
          <w:highlight w:val="none"/>
          <w:lang w:val="en-US" w:eastAsia="zh-CN"/>
        </w:rPr>
        <w:t xml:space="preserve"> Chapter 51</w:t>
      </w:r>
    </w:p>
    <w:p w14:paraId="27DBFDD1">
      <w:pPr>
        <w:pStyle w:val="56"/>
        <w:ind w:firstLine="420" w:firstLineChars="200"/>
        <w:jc w:val="both"/>
        <w:rPr>
          <w:rFonts w:hint="default"/>
          <w:highlight w:val="none"/>
          <w:lang w:val="en-US" w:eastAsia="zh-CN"/>
        </w:rPr>
      </w:pPr>
      <w:r>
        <w:rPr>
          <w:rFonts w:hint="eastAsia" w:hAnsi="Times New Roman" w:cs="Times New Roman"/>
          <w:highlight w:val="none"/>
          <w:lang w:val="en-US" w:eastAsia="zh-CN"/>
        </w:rPr>
        <w:t xml:space="preserve">[9] </w:t>
      </w:r>
      <w:r>
        <w:rPr>
          <w:rFonts w:hint="eastAsia"/>
          <w:highlight w:val="none"/>
        </w:rPr>
        <w:t>欧洲药典</w:t>
      </w:r>
      <w:r>
        <w:rPr>
          <w:rFonts w:hint="eastAsia"/>
          <w:highlight w:val="none"/>
          <w:lang w:val="en-US" w:eastAsia="zh-CN"/>
        </w:rPr>
        <w:t>EP 11.0 5.1.3</w:t>
      </w:r>
    </w:p>
    <w:p w14:paraId="1F52D287">
      <w:pPr>
        <w:pStyle w:val="56"/>
        <w:ind w:firstLine="420" w:firstLineChars="200"/>
        <w:jc w:val="both"/>
        <w:rPr>
          <w:rFonts w:hint="eastAsia"/>
          <w:highlight w:val="none"/>
          <w:lang w:eastAsia="zh-CN"/>
        </w:rPr>
      </w:pPr>
      <w:r>
        <w:rPr>
          <w:rFonts w:hint="eastAsia" w:hAnsi="Times New Roman" w:cs="Times New Roman"/>
          <w:highlight w:val="none"/>
          <w:lang w:val="en-US" w:eastAsia="zh-CN"/>
        </w:rPr>
        <w:t xml:space="preserve">[10] </w:t>
      </w:r>
      <w:r>
        <w:rPr>
          <w:rFonts w:hint="eastAsia"/>
          <w:highlight w:val="none"/>
          <w:lang w:eastAsia="zh-CN"/>
        </w:rPr>
        <w:t>《21世纪毒性测试：远景与策略》</w:t>
      </w:r>
    </w:p>
    <w:p w14:paraId="4F43BCFD">
      <w:pPr>
        <w:pStyle w:val="56"/>
        <w:ind w:firstLine="420" w:firstLineChars="200"/>
        <w:jc w:val="both"/>
        <w:rPr>
          <w:rFonts w:hint="eastAsia"/>
          <w:highlight w:val="none"/>
        </w:rPr>
      </w:pPr>
      <w:r>
        <w:rPr>
          <w:rFonts w:hint="eastAsia" w:hAnsi="Times New Roman" w:cs="Times New Roman"/>
          <w:highlight w:val="none"/>
          <w:lang w:val="en-US" w:eastAsia="zh-CN"/>
        </w:rPr>
        <w:t xml:space="preserve">[11] </w:t>
      </w:r>
      <w:r>
        <w:rPr>
          <w:rFonts w:hint="eastAsia"/>
          <w:highlight w:val="none"/>
        </w:rPr>
        <w:t>ISO 11930:2019 化妆品微生物学评价化妆品的抗微生物保护</w:t>
      </w:r>
    </w:p>
    <w:p w14:paraId="7A1B8381">
      <w:pPr>
        <w:pStyle w:val="56"/>
        <w:ind w:firstLine="420" w:firstLineChars="200"/>
        <w:jc w:val="both"/>
        <w:rPr>
          <w:rFonts w:hint="eastAsia" w:eastAsia="宋体"/>
          <w:highlight w:val="none"/>
          <w:lang w:val="en-US" w:eastAsia="zh-CN"/>
        </w:rPr>
      </w:pPr>
      <w:r>
        <w:rPr>
          <w:rFonts w:hint="eastAsia" w:hAnsi="Times New Roman" w:cs="Times New Roman"/>
          <w:highlight w:val="none"/>
          <w:lang w:val="en-US" w:eastAsia="zh-CN"/>
        </w:rPr>
        <w:t xml:space="preserve">[12] </w:t>
      </w:r>
      <w:r>
        <w:rPr>
          <w:rFonts w:hint="eastAsia"/>
          <w:highlight w:val="none"/>
        </w:rPr>
        <w:t>PCPC 2024 Microbiology Guidelines</w:t>
      </w:r>
    </w:p>
    <w:p w14:paraId="4FDD0214">
      <w:pPr>
        <w:pStyle w:val="56"/>
        <w:ind w:firstLine="420" w:firstLineChars="200"/>
        <w:jc w:val="both"/>
        <w:rPr>
          <w:rFonts w:hint="default" w:eastAsia="宋体"/>
          <w:highlight w:val="none"/>
          <w:lang w:val="en-US" w:eastAsia="zh-CN"/>
        </w:rPr>
      </w:pPr>
      <w:r>
        <w:rPr>
          <w:rFonts w:hint="eastAsia" w:hAnsi="Times New Roman" w:cs="Times New Roman"/>
          <w:highlight w:val="none"/>
          <w:lang w:val="en-US" w:eastAsia="zh-CN"/>
        </w:rPr>
        <w:t xml:space="preserve">[13] </w:t>
      </w:r>
      <w:r>
        <w:rPr>
          <w:rFonts w:hint="eastAsia"/>
          <w:highlight w:val="none"/>
        </w:rPr>
        <w:t>T/SHRH 017-2019</w:t>
      </w:r>
      <w:r>
        <w:rPr>
          <w:rFonts w:hint="eastAsia"/>
          <w:highlight w:val="none"/>
          <w:lang w:val="en-US" w:eastAsia="zh-CN"/>
        </w:rPr>
        <w:t xml:space="preserve">  化妆品防腐挑战试验</w:t>
      </w:r>
    </w:p>
    <w:p w14:paraId="30EF9B0C">
      <w:pPr>
        <w:pStyle w:val="56"/>
        <w:ind w:firstLine="420" w:firstLineChars="200"/>
        <w:jc w:val="both"/>
        <w:rPr>
          <w:rFonts w:hint="default" w:eastAsia="宋体"/>
          <w:highlight w:val="none"/>
          <w:lang w:val="en-US" w:eastAsia="zh-CN"/>
        </w:rPr>
      </w:pPr>
      <w:r>
        <w:rPr>
          <w:rFonts w:hint="eastAsia" w:hAnsi="Times New Roman" w:cs="Times New Roman"/>
          <w:highlight w:val="none"/>
          <w:lang w:val="en-US" w:eastAsia="zh-CN"/>
        </w:rPr>
        <w:t xml:space="preserve">[14] </w:t>
      </w:r>
      <w:r>
        <w:rPr>
          <w:rFonts w:hint="eastAsia"/>
          <w:highlight w:val="none"/>
        </w:rPr>
        <w:t>T/GDCDC 010-2019</w:t>
      </w:r>
      <w:r>
        <w:rPr>
          <w:rFonts w:hint="eastAsia"/>
          <w:highlight w:val="none"/>
          <w:lang w:val="en-US" w:eastAsia="zh-CN"/>
        </w:rPr>
        <w:t xml:space="preserve">  化妆品防腐挑战性测试方法</w:t>
      </w:r>
    </w:p>
    <w:p w14:paraId="13E6C878">
      <w:pPr>
        <w:pStyle w:val="56"/>
        <w:ind w:firstLine="420" w:firstLineChars="200"/>
        <w:jc w:val="both"/>
        <w:rPr>
          <w:rFonts w:hint="eastAsia"/>
          <w:highlight w:val="none"/>
        </w:rPr>
      </w:pPr>
      <w:r>
        <w:rPr>
          <w:rFonts w:hint="eastAsia" w:hAnsi="Times New Roman" w:cs="Times New Roman"/>
          <w:highlight w:val="none"/>
          <w:lang w:val="en-US" w:eastAsia="zh-CN"/>
        </w:rPr>
        <w:t xml:space="preserve">[15] </w:t>
      </w:r>
      <w:r>
        <w:rPr>
          <w:rFonts w:hint="eastAsia"/>
          <w:highlight w:val="none"/>
        </w:rPr>
        <w:t>防腐挑战测试评估技术指南</w:t>
      </w:r>
    </w:p>
    <w:p w14:paraId="5273DED2">
      <w:pPr>
        <w:pStyle w:val="56"/>
        <w:ind w:firstLine="420" w:firstLineChars="200"/>
        <w:jc w:val="both"/>
        <w:rPr>
          <w:rFonts w:hint="eastAsia"/>
          <w:highlight w:val="none"/>
        </w:rPr>
      </w:pPr>
    </w:p>
    <w:p w14:paraId="595D5C6A">
      <w:pPr>
        <w:pStyle w:val="56"/>
        <w:ind w:firstLine="0" w:firstLineChars="0"/>
        <w:jc w:val="center"/>
      </w:pPr>
      <w:r>
        <w:drawing>
          <wp:inline distT="0" distB="0" distL="0" distR="0">
            <wp:extent cx="1485900" cy="317500"/>
            <wp:effectExtent l="0" t="0" r="0" b="6350"/>
            <wp:docPr id="1150687075" name="图片 1"/>
            <wp:cNvGraphicFramePr/>
            <a:graphic xmlns:a="http://schemas.openxmlformats.org/drawingml/2006/main">
              <a:graphicData uri="http://schemas.openxmlformats.org/drawingml/2006/picture">
                <pic:pic xmlns:pic="http://schemas.openxmlformats.org/drawingml/2006/picture">
                  <pic:nvPicPr>
                    <pic:cNvPr id="1150687075"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FAB0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5A23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D83C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64EAE">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3202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127E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C2FA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07088">
    <w:pPr>
      <w:pStyle w:val="61"/>
      <w:rPr>
        <w:rFonts w:hint="eastAsia"/>
      </w:rPr>
    </w:pPr>
    <w:r>
      <w:fldChar w:fldCharType="begin"/>
    </w:r>
    <w:r>
      <w:instrText xml:space="preserve"> STYLEREF  标准文件_文件编号  \* MERGEFORMAT </w:instrText>
    </w:r>
    <w:r>
      <w:fldChar w:fldCharType="separate"/>
    </w:r>
    <w:r>
      <w:t>T/JSQA 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ACE6E">
    <w:pPr>
      <w:pStyle w:val="18"/>
      <w:jc w:val="right"/>
    </w:pPr>
    <w:r>
      <w:fldChar w:fldCharType="begin"/>
    </w:r>
    <w:r>
      <w:instrText xml:space="preserve"> STYLEREF  标准文件_文件编号  \* MERGEFORMAT </w:instrText>
    </w:r>
    <w:r>
      <w:fldChar w:fldCharType="separate"/>
    </w:r>
    <w:r>
      <w:t>T/JSQA 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attachedTemplate r:id="rId1"/>
  <w:documentProtection w:edit="forms" w:enforcement="1" w:cryptProviderType="rsaAES" w:cryptAlgorithmClass="hash" w:cryptAlgorithmType="typeAny" w:cryptAlgorithmSid="14" w:cryptSpinCount="100000" w:hash="TKY7MNgCspZXp1YOvaGmofEwN5/CvgkN6WS1g8OOQ8IIrGUWC8PocyNNObIY103N0sKFmYAnvU37gbfYZGxFAw==" w:salt="4zbfSNlpFrUD1L4laEL/t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99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992"/>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3A6"/>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2E6"/>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4F49"/>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CA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C7A"/>
    <w:rsid w:val="00D66846"/>
    <w:rsid w:val="00D674C8"/>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6CC2"/>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744454"/>
    <w:rsid w:val="09CC5BA4"/>
    <w:rsid w:val="14584E36"/>
    <w:rsid w:val="182E4DAB"/>
    <w:rsid w:val="1BF9705F"/>
    <w:rsid w:val="1CC3469C"/>
    <w:rsid w:val="1D69373A"/>
    <w:rsid w:val="23A028DD"/>
    <w:rsid w:val="3F10035D"/>
    <w:rsid w:val="3FE35CC2"/>
    <w:rsid w:val="40CD14F7"/>
    <w:rsid w:val="47A62A6C"/>
    <w:rsid w:val="48FB5252"/>
    <w:rsid w:val="5EA901E5"/>
    <w:rsid w:val="60563B24"/>
    <w:rsid w:val="60BF3DBF"/>
    <w:rsid w:val="6893229E"/>
    <w:rsid w:val="6B7920A9"/>
    <w:rsid w:val="764432CD"/>
    <w:rsid w:val="771C7DA5"/>
    <w:rsid w:val="7EDB7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6C7A2B2AE8D47F2B13B184601B88631"/>
        <w:style w:val=""/>
        <w:category>
          <w:name w:val="常规"/>
          <w:gallery w:val="placeholder"/>
        </w:category>
        <w:types>
          <w:type w:val="bbPlcHdr"/>
        </w:types>
        <w:behaviors>
          <w:behavior w:val="content"/>
        </w:behaviors>
        <w:description w:val=""/>
        <w:guid w:val="{0D96A4AE-B136-4E25-B8C3-98CDDA1D2A23}"/>
      </w:docPartPr>
      <w:docPartBody>
        <w:p w14:paraId="0DE41500">
          <w:pPr>
            <w:pStyle w:val="5"/>
            <w:rPr>
              <w:rFonts w:hint="eastAsia"/>
            </w:rPr>
          </w:pPr>
          <w:r>
            <w:rPr>
              <w:rStyle w:val="4"/>
              <w:rFonts w:hint="eastAsia"/>
            </w:rPr>
            <w:t>单击或点击此处输入文字。</w:t>
          </w:r>
        </w:p>
      </w:docPartBody>
    </w:docPart>
    <w:docPart>
      <w:docPartPr>
        <w:name w:val="A2E3633B5F6145E9A016ED5043EFD80C"/>
        <w:style w:val=""/>
        <w:category>
          <w:name w:val="常规"/>
          <w:gallery w:val="placeholder"/>
        </w:category>
        <w:types>
          <w:type w:val="bbPlcHdr"/>
        </w:types>
        <w:behaviors>
          <w:behavior w:val="content"/>
        </w:behaviors>
        <w:description w:val=""/>
        <w:guid w:val="{24948412-B5A1-41DA-9270-8F658BEB2AFD}"/>
      </w:docPartPr>
      <w:docPartBody>
        <w:p w14:paraId="7A4E33AC">
          <w:pPr>
            <w:pStyle w:val="6"/>
            <w:rPr>
              <w:rFonts w:hint="eastAsia"/>
            </w:rPr>
          </w:pPr>
          <w:r>
            <w:rPr>
              <w:rStyle w:val="4"/>
              <w:rFonts w:hint="eastAsia"/>
            </w:rPr>
            <w:t>选择一项。</w:t>
          </w:r>
        </w:p>
      </w:docPartBody>
    </w:docPart>
    <w:docPart>
      <w:docPartPr>
        <w:name w:val="735C6DACE121440D8BB3C62477A3F216"/>
        <w:style w:val=""/>
        <w:category>
          <w:name w:val="常规"/>
          <w:gallery w:val="placeholder"/>
        </w:category>
        <w:types>
          <w:type w:val="bbPlcHdr"/>
        </w:types>
        <w:behaviors>
          <w:behavior w:val="content"/>
        </w:behaviors>
        <w:description w:val=""/>
        <w:guid w:val="{8AD3EF17-1D17-4E44-ADE3-18A33F04E0A0}"/>
      </w:docPartPr>
      <w:docPartBody>
        <w:p w14:paraId="079D392E">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311"/>
    <w:rsid w:val="002678D5"/>
    <w:rsid w:val="008F0B79"/>
    <w:rsid w:val="00934F49"/>
    <w:rsid w:val="00D674C8"/>
    <w:rsid w:val="00D76E54"/>
    <w:rsid w:val="00E73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6C7A2B2AE8D47F2B13B184601B8863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2E3633B5F6145E9A016ED5043EFD80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35C6DACE121440D8BB3C62477A3F21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96C09EBBF7864DD2932CA5AB5B62047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17</Pages>
  <Words>8807</Words>
  <Characters>9332</Characters>
  <Lines>48</Lines>
  <Paragraphs>13</Paragraphs>
  <TotalTime>17</TotalTime>
  <ScaleCrop>false</ScaleCrop>
  <LinksUpToDate>false</LinksUpToDate>
  <CharactersWithSpaces>9500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2025-12-23T06:31:00Z</dcterms:created>
  <dc:creator>HK</dc:creator>
  <dc:description>&lt;config cover="true" show_menu="true" version="1.0.0" doctype="SDKXY"&gt;_x000d_
&lt;/config&gt;</dc:description>
  <cp:lastModifiedBy>Kฅther</cp:lastModifiedBy>
  <cp:lastPrinted>2025-12-23T07:14:00Z</cp:lastPrinted>
  <dcterms:modified xsi:type="dcterms:W3CDTF">2026-01-23T09:04:54Z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eyJoZGlkIjoiMzEwNTM5NzYwMDRjMzkwZTVkZjY2ODkwMGIxNGU0OTUiLCJ1c2VySWQiOiIxMTY3MzU5MTA2In0=</vt:lpwstr>
  </property>
  <property fmtid="{D5CDD505-2E9C-101B-9397-08002B2CF9AE}" pid="15" name="KSOProductBuildVer">
    <vt:lpwstr>2052-12.1.0.24657</vt:lpwstr>
  </property>
  <property fmtid="{D5CDD505-2E9C-101B-9397-08002B2CF9AE}" pid="16" name="ICV">
    <vt:lpwstr>74CF23ACF7354A73A9A33825DCDF1299_13</vt:lpwstr>
  </property>
</Properties>
</file>